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7E" w:rsidRPr="00CA7DA7" w:rsidRDefault="00637D35" w:rsidP="00653467">
      <w:pPr>
        <w:rPr>
          <w:rFonts w:ascii="Palatino Linotype" w:hAnsi="Palatino Linotype" w:cs="Arial"/>
          <w:noProof/>
          <w:sz w:val="24"/>
          <w:szCs w:val="24"/>
        </w:rPr>
      </w:pPr>
      <w:r w:rsidRPr="00CA7DA7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1A8A17E4" wp14:editId="3EC33A81">
            <wp:extent cx="2224800" cy="874800"/>
            <wp:effectExtent l="0" t="0" r="4445" b="1905"/>
            <wp:docPr id="6" name="Obraz 6" descr="Logotyp Archiwum Narodowego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579" w:rsidRPr="00CA7DA7" w:rsidRDefault="00F63579" w:rsidP="00F63579">
      <w:pPr>
        <w:spacing w:before="100" w:beforeAutospacing="1" w:after="100" w:afterAutospacing="1"/>
        <w:jc w:val="both"/>
        <w:outlineLvl w:val="0"/>
        <w:rPr>
          <w:rFonts w:ascii="Palatino Linotype" w:hAnsi="Palatino Linotype"/>
          <w:sz w:val="24"/>
          <w:szCs w:val="24"/>
        </w:rPr>
      </w:pPr>
      <w:r w:rsidRPr="00CA7DA7">
        <w:rPr>
          <w:rFonts w:ascii="Palatino Linotype" w:hAnsi="Palatino Linotype"/>
          <w:sz w:val="24"/>
          <w:szCs w:val="24"/>
        </w:rPr>
        <w:t xml:space="preserve">NZP.26.6.2022    </w:t>
      </w:r>
      <w:r w:rsidRPr="00CA7DA7">
        <w:rPr>
          <w:rFonts w:ascii="Palatino Linotype" w:hAnsi="Palatino Linotype"/>
          <w:sz w:val="24"/>
          <w:szCs w:val="24"/>
        </w:rPr>
        <w:tab/>
      </w:r>
      <w:r w:rsidRPr="00CA7DA7">
        <w:rPr>
          <w:rFonts w:ascii="Palatino Linotype" w:hAnsi="Palatino Linotype"/>
          <w:sz w:val="24"/>
          <w:szCs w:val="24"/>
        </w:rPr>
        <w:tab/>
      </w:r>
      <w:r w:rsidRPr="00CA7DA7">
        <w:rPr>
          <w:rFonts w:ascii="Palatino Linotype" w:hAnsi="Palatino Linotype"/>
          <w:sz w:val="24"/>
          <w:szCs w:val="24"/>
        </w:rPr>
        <w:tab/>
      </w:r>
      <w:r w:rsidRPr="00CA7DA7">
        <w:rPr>
          <w:rFonts w:ascii="Palatino Linotype" w:hAnsi="Palatino Linotype"/>
          <w:sz w:val="24"/>
          <w:szCs w:val="24"/>
        </w:rPr>
        <w:tab/>
      </w:r>
      <w:r w:rsidRPr="00CA7DA7">
        <w:rPr>
          <w:rFonts w:ascii="Palatino Linotype" w:hAnsi="Palatino Linotype"/>
          <w:sz w:val="24"/>
          <w:szCs w:val="24"/>
        </w:rPr>
        <w:tab/>
      </w:r>
      <w:r w:rsidRPr="00CA7DA7">
        <w:rPr>
          <w:rFonts w:ascii="Palatino Linotype" w:hAnsi="Palatino Linotype"/>
          <w:sz w:val="24"/>
          <w:szCs w:val="24"/>
        </w:rPr>
        <w:tab/>
      </w:r>
      <w:r w:rsidRPr="00CA7DA7">
        <w:rPr>
          <w:rFonts w:ascii="Palatino Linotype" w:hAnsi="Palatino Linotype"/>
          <w:sz w:val="24"/>
          <w:szCs w:val="24"/>
        </w:rPr>
        <w:tab/>
        <w:t>Kraków, 2</w:t>
      </w:r>
      <w:r w:rsidR="00E274F8">
        <w:rPr>
          <w:rFonts w:ascii="Palatino Linotype" w:hAnsi="Palatino Linotype"/>
          <w:sz w:val="24"/>
          <w:szCs w:val="24"/>
        </w:rPr>
        <w:t>2</w:t>
      </w:r>
      <w:r w:rsidRPr="00CA7DA7">
        <w:rPr>
          <w:rFonts w:ascii="Palatino Linotype" w:hAnsi="Palatino Linotype"/>
          <w:sz w:val="24"/>
          <w:szCs w:val="24"/>
        </w:rPr>
        <w:t>.11.2022 r.</w:t>
      </w:r>
    </w:p>
    <w:p w:rsidR="00F63579" w:rsidRPr="00CA7DA7" w:rsidRDefault="00F63579" w:rsidP="00F63579">
      <w:pPr>
        <w:spacing w:before="100" w:beforeAutospacing="1" w:after="100" w:afterAutospacing="1"/>
        <w:jc w:val="both"/>
        <w:outlineLvl w:val="0"/>
        <w:rPr>
          <w:rFonts w:ascii="Palatino Linotype" w:hAnsi="Palatino Linotype" w:cstheme="minorHAnsi"/>
          <w:b/>
          <w:bCs/>
          <w:sz w:val="24"/>
          <w:szCs w:val="24"/>
        </w:rPr>
      </w:pPr>
      <w:r w:rsidRPr="00CA7DA7">
        <w:rPr>
          <w:rFonts w:ascii="Palatino Linotype" w:hAnsi="Palatino Linotype"/>
          <w:sz w:val="24"/>
          <w:szCs w:val="24"/>
        </w:rPr>
        <w:t xml:space="preserve">Dotyczy: postępowania o udzielenie zamówienia publicznego </w:t>
      </w:r>
      <w:r w:rsidRPr="00CA7DA7">
        <w:rPr>
          <w:rFonts w:ascii="Palatino Linotype" w:hAnsi="Palatino Linotype" w:cstheme="minorHAnsi"/>
          <w:b/>
          <w:bCs/>
          <w:sz w:val="24"/>
          <w:szCs w:val="24"/>
        </w:rPr>
        <w:t xml:space="preserve">Świadczenie usługi dozorowania i ochrony siedziby Archiwum Narodowego w Krakowie przy ul. Rakowickiej 22e </w:t>
      </w:r>
    </w:p>
    <w:p w:rsidR="00F63579" w:rsidRPr="00CA7DA7" w:rsidRDefault="00F63579" w:rsidP="00F63579">
      <w:pPr>
        <w:spacing w:before="100" w:beforeAutospacing="1" w:after="100" w:afterAutospacing="1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CA7DA7">
        <w:rPr>
          <w:rFonts w:ascii="Palatino Linotype" w:hAnsi="Palatino Linotype"/>
          <w:b/>
          <w:sz w:val="24"/>
          <w:szCs w:val="24"/>
        </w:rPr>
        <w:t>Modyfikacja treści SWZ</w:t>
      </w:r>
    </w:p>
    <w:p w:rsidR="00F63579" w:rsidRPr="00CA7DA7" w:rsidRDefault="00F63579" w:rsidP="00F63579">
      <w:pPr>
        <w:rPr>
          <w:rFonts w:ascii="Palatino Linotype" w:hAnsi="Palatino Linotype"/>
          <w:sz w:val="24"/>
          <w:szCs w:val="24"/>
        </w:rPr>
      </w:pPr>
      <w:r w:rsidRPr="00CA7DA7">
        <w:rPr>
          <w:rFonts w:ascii="Palatino Linotype" w:hAnsi="Palatino Linotype"/>
          <w:sz w:val="24"/>
          <w:szCs w:val="24"/>
        </w:rPr>
        <w:t xml:space="preserve">Zamawiający, na podstawie art. 286 ust. 1 ustawy z dnia 11 września 2019 r. - Prawo zamówień publicznych, dokonuje modyfikacji treści SWZ ww. postępowania: </w:t>
      </w:r>
    </w:p>
    <w:p w:rsidR="00F63579" w:rsidRPr="00CA7DA7" w:rsidRDefault="00F63579" w:rsidP="00F63579">
      <w:pPr>
        <w:pStyle w:val="Tekstpodstawowy"/>
        <w:widowControl/>
        <w:autoSpaceDE/>
        <w:autoSpaceDN/>
        <w:adjustRightInd/>
        <w:spacing w:line="276" w:lineRule="auto"/>
        <w:jc w:val="left"/>
        <w:rPr>
          <w:rFonts w:ascii="Palatino Linotype" w:hAnsi="Palatino Linotype"/>
        </w:rPr>
      </w:pPr>
    </w:p>
    <w:p w:rsidR="00F63579" w:rsidRPr="00CA7DA7" w:rsidRDefault="00F63579" w:rsidP="00F63579">
      <w:pPr>
        <w:pStyle w:val="Tekstpodstawowy"/>
        <w:widowControl/>
        <w:autoSpaceDE/>
        <w:autoSpaceDN/>
        <w:adjustRightInd/>
        <w:spacing w:line="276" w:lineRule="auto"/>
        <w:jc w:val="left"/>
        <w:rPr>
          <w:rFonts w:ascii="Palatino Linotype" w:hAnsi="Palatino Linotype"/>
        </w:rPr>
      </w:pPr>
    </w:p>
    <w:p w:rsidR="00F63579" w:rsidRPr="00CA7DA7" w:rsidRDefault="00F63579" w:rsidP="00F63579">
      <w:pPr>
        <w:pStyle w:val="Tekstpodstawowy"/>
        <w:widowControl/>
        <w:autoSpaceDE/>
        <w:autoSpaceDN/>
        <w:adjustRightInd/>
        <w:spacing w:line="276" w:lineRule="auto"/>
        <w:jc w:val="left"/>
        <w:rPr>
          <w:rFonts w:ascii="Palatino Linotype" w:hAnsi="Palatino Linotype"/>
        </w:rPr>
      </w:pPr>
    </w:p>
    <w:p w:rsidR="00686544" w:rsidRPr="00E274F8" w:rsidRDefault="00F63579" w:rsidP="00F63579">
      <w:pPr>
        <w:pStyle w:val="Tekstpodstawowy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left"/>
        <w:rPr>
          <w:rFonts w:ascii="Palatino Linotype" w:hAnsi="Palatino Linotype" w:cs="Calibri"/>
          <w:b/>
          <w:lang w:val="pl-PL" w:eastAsia="en-US"/>
        </w:rPr>
      </w:pPr>
      <w:r w:rsidRPr="00E274F8">
        <w:rPr>
          <w:rFonts w:ascii="Palatino Linotype" w:hAnsi="Palatino Linotype"/>
          <w:b/>
          <w:lang w:val="pl-PL"/>
        </w:rPr>
        <w:t>Zmianie ulegają postanowienia zawarte w Załączniku nr 5 do SWZ (wzór umowy) w</w:t>
      </w:r>
      <w:r w:rsidR="00E274F8" w:rsidRPr="00E274F8">
        <w:rPr>
          <w:rFonts w:ascii="Palatino Linotype" w:hAnsi="Palatino Linotype"/>
          <w:b/>
          <w:lang w:val="pl-PL"/>
        </w:rPr>
        <w:t xml:space="preserve"> </w:t>
      </w:r>
      <w:r w:rsidR="0040221F" w:rsidRPr="00E274F8">
        <w:rPr>
          <w:rFonts w:ascii="Palatino Linotype" w:hAnsi="Palatino Linotype"/>
          <w:b/>
          <w:color w:val="333333"/>
          <w:shd w:val="clear" w:color="auto" w:fill="FFFFFF"/>
        </w:rPr>
        <w:t>§ 11 ust. 7</w:t>
      </w:r>
    </w:p>
    <w:p w:rsidR="0040221F" w:rsidRPr="00CA7DA7" w:rsidRDefault="0040221F" w:rsidP="0040221F">
      <w:pPr>
        <w:pStyle w:val="Tekstpodstawowy"/>
        <w:widowControl/>
        <w:autoSpaceDE/>
        <w:autoSpaceDN/>
        <w:adjustRightInd/>
        <w:spacing w:line="276" w:lineRule="auto"/>
        <w:ind w:left="1080"/>
        <w:jc w:val="left"/>
        <w:rPr>
          <w:rFonts w:ascii="Palatino Linotype" w:hAnsi="Palatino Linotype" w:cs="Calibri"/>
          <w:b/>
          <w:lang w:val="pl-PL" w:eastAsia="en-US"/>
        </w:rPr>
      </w:pPr>
      <w:r w:rsidRPr="00CA7DA7">
        <w:rPr>
          <w:rFonts w:ascii="Palatino Linotype" w:hAnsi="Palatino Linotype" w:cs="Calibri"/>
          <w:b/>
          <w:lang w:val="pl-PL" w:eastAsia="en-US"/>
        </w:rPr>
        <w:t>Przed zmianą</w:t>
      </w:r>
    </w:p>
    <w:p w:rsidR="0040221F" w:rsidRPr="00CA7DA7" w:rsidRDefault="0040221F" w:rsidP="0040221F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357" w:firstLine="0"/>
        <w:jc w:val="both"/>
        <w:rPr>
          <w:rFonts w:ascii="Palatino Linotype" w:hAnsi="Palatino Linotype"/>
          <w:sz w:val="24"/>
          <w:szCs w:val="24"/>
        </w:rPr>
      </w:pPr>
      <w:r w:rsidRPr="00CA7DA7">
        <w:rPr>
          <w:rFonts w:ascii="Palatino Linotype" w:hAnsi="Palatino Linotype" w:cs="Calibri"/>
          <w:sz w:val="24"/>
          <w:szCs w:val="24"/>
        </w:rPr>
        <w:t>Wysokość kar umownych określonych w ust. 1-5 nie przekroczy 20% wynagrodzenia brutto, określonego w § 2 ust. 1. Powyższe ograniczenie odpowiedzialności nie ma zastosowania do niewykonania lub nienależytego wykonania Umowy spowodowanego winą umyślną lub rażącym niedbalstwem Wykonawcy lub osób za które ponosi odpowiedzialność w związku z wykonywaniem Umowy.</w:t>
      </w:r>
    </w:p>
    <w:p w:rsidR="0040221F" w:rsidRPr="00CA7DA7" w:rsidRDefault="0040221F" w:rsidP="0040221F">
      <w:pPr>
        <w:pStyle w:val="Tekstpodstawowy"/>
        <w:widowControl/>
        <w:autoSpaceDE/>
        <w:autoSpaceDN/>
        <w:adjustRightInd/>
        <w:spacing w:line="276" w:lineRule="auto"/>
        <w:ind w:left="1080"/>
        <w:jc w:val="left"/>
        <w:rPr>
          <w:rFonts w:ascii="Palatino Linotype" w:hAnsi="Palatino Linotype" w:cs="Calibri"/>
          <w:lang w:val="pl-PL" w:eastAsia="en-US"/>
        </w:rPr>
      </w:pPr>
    </w:p>
    <w:p w:rsidR="0040221F" w:rsidRPr="00CA7DA7" w:rsidRDefault="0040221F" w:rsidP="0040221F">
      <w:pPr>
        <w:pStyle w:val="Tekstpodstawowy"/>
        <w:widowControl/>
        <w:autoSpaceDE/>
        <w:autoSpaceDN/>
        <w:adjustRightInd/>
        <w:spacing w:line="276" w:lineRule="auto"/>
        <w:ind w:left="1080"/>
        <w:jc w:val="left"/>
        <w:rPr>
          <w:rFonts w:ascii="Palatino Linotype" w:hAnsi="Palatino Linotype" w:cs="Calibri"/>
          <w:b/>
          <w:lang w:val="pl-PL" w:eastAsia="en-US"/>
        </w:rPr>
      </w:pPr>
      <w:r w:rsidRPr="00CA7DA7">
        <w:rPr>
          <w:rFonts w:ascii="Palatino Linotype" w:hAnsi="Palatino Linotype" w:cs="Calibri"/>
          <w:b/>
          <w:lang w:val="pl-PL" w:eastAsia="en-US"/>
        </w:rPr>
        <w:t>Po zmianie</w:t>
      </w:r>
    </w:p>
    <w:p w:rsidR="0040221F" w:rsidRPr="00CA7DA7" w:rsidRDefault="0040221F" w:rsidP="0040221F">
      <w:pPr>
        <w:pStyle w:val="Tekstpodstawowy"/>
        <w:widowControl/>
        <w:numPr>
          <w:ilvl w:val="3"/>
          <w:numId w:val="22"/>
        </w:numPr>
        <w:autoSpaceDE/>
        <w:autoSpaceDN/>
        <w:adjustRightInd/>
        <w:spacing w:line="276" w:lineRule="auto"/>
        <w:ind w:left="357" w:firstLine="0"/>
        <w:jc w:val="left"/>
        <w:rPr>
          <w:rFonts w:ascii="Palatino Linotype" w:hAnsi="Palatino Linotype" w:cs="Calibri"/>
          <w:lang w:val="pl-PL" w:eastAsia="en-US"/>
        </w:rPr>
      </w:pPr>
      <w:r w:rsidRPr="00CA7DA7">
        <w:rPr>
          <w:rFonts w:ascii="Palatino Linotype" w:hAnsi="Palatino Linotype" w:cs="Calibri"/>
        </w:rPr>
        <w:t>Wysokość kar umownych określonych w ust. 1-5 nie przekroczy 20% wynagrodzenia brutto, określonego w § 2 ust. 1.</w:t>
      </w:r>
    </w:p>
    <w:p w:rsidR="00D50F77" w:rsidRPr="00CA7DA7" w:rsidRDefault="00D50F77" w:rsidP="00D50F77">
      <w:pPr>
        <w:pStyle w:val="Tekstpodstawowy"/>
        <w:widowControl/>
        <w:autoSpaceDE/>
        <w:autoSpaceDN/>
        <w:adjustRightInd/>
        <w:spacing w:line="276" w:lineRule="auto"/>
        <w:ind w:left="357"/>
        <w:jc w:val="left"/>
        <w:rPr>
          <w:rFonts w:ascii="Palatino Linotype" w:hAnsi="Palatino Linotype" w:cs="Calibri"/>
          <w:lang w:val="pl-PL" w:eastAsia="en-US"/>
        </w:rPr>
      </w:pPr>
    </w:p>
    <w:p w:rsidR="0040221F" w:rsidRPr="00FF2F78" w:rsidRDefault="0040221F" w:rsidP="00FF2F78">
      <w:pPr>
        <w:pStyle w:val="Akapitzlist"/>
        <w:numPr>
          <w:ilvl w:val="0"/>
          <w:numId w:val="21"/>
        </w:numPr>
        <w:tabs>
          <w:tab w:val="left" w:pos="426"/>
        </w:tabs>
        <w:overflowPunct w:val="0"/>
        <w:mirrorIndents/>
        <w:jc w:val="both"/>
        <w:textAlignment w:val="baseline"/>
        <w:rPr>
          <w:rFonts w:ascii="Palatino Linotype" w:hAnsi="Palatino Linotype" w:cs="Open Sans"/>
          <w:b/>
          <w:bCs/>
          <w:spacing w:val="-13"/>
          <w:sz w:val="24"/>
          <w:szCs w:val="24"/>
        </w:rPr>
      </w:pPr>
      <w:r w:rsidRPr="00FF2F78">
        <w:rPr>
          <w:rFonts w:ascii="Palatino Linotype" w:hAnsi="Palatino Linotype"/>
          <w:b/>
          <w:sz w:val="24"/>
          <w:szCs w:val="24"/>
        </w:rPr>
        <w:t>Zmianie ulegają postanowienia zawarte w Załączniku nr 5 do SWZ (wzór umowy) poprzez dodanie</w:t>
      </w:r>
      <w:r w:rsidR="00D50F77" w:rsidRPr="00FF2F78">
        <w:rPr>
          <w:rFonts w:ascii="Palatino Linotype" w:hAnsi="Palatino Linotype"/>
          <w:b/>
          <w:sz w:val="24"/>
          <w:szCs w:val="24"/>
        </w:rPr>
        <w:t xml:space="preserve"> w umowie §</w:t>
      </w:r>
      <w:r w:rsidR="00E274F8" w:rsidRPr="00FF2F78">
        <w:rPr>
          <w:rFonts w:ascii="Palatino Linotype" w:hAnsi="Palatino Linotype"/>
          <w:b/>
          <w:sz w:val="24"/>
          <w:szCs w:val="24"/>
        </w:rPr>
        <w:t xml:space="preserve"> </w:t>
      </w:r>
      <w:r w:rsidR="00D50F77" w:rsidRPr="00FF2F78">
        <w:rPr>
          <w:rFonts w:ascii="Palatino Linotype" w:hAnsi="Palatino Linotype"/>
          <w:b/>
          <w:sz w:val="24"/>
          <w:szCs w:val="24"/>
        </w:rPr>
        <w:t>2</w:t>
      </w:r>
      <w:r w:rsidR="00D50F77" w:rsidRPr="00FF2F78">
        <w:rPr>
          <w:rFonts w:ascii="Palatino Linotype" w:hAnsi="Palatino Linotype" w:cs="Calibri"/>
          <w:b/>
          <w:sz w:val="24"/>
          <w:szCs w:val="24"/>
          <w:lang w:eastAsia="en-US"/>
        </w:rPr>
        <w:t xml:space="preserve">a </w:t>
      </w:r>
      <w:r w:rsidR="00D50F77" w:rsidRPr="00FF2F78">
        <w:rPr>
          <w:rFonts w:ascii="Palatino Linotype" w:hAnsi="Palatino Linotype" w:cs="Open Sans"/>
          <w:b/>
          <w:bCs/>
          <w:spacing w:val="-13"/>
          <w:sz w:val="24"/>
          <w:szCs w:val="24"/>
        </w:rPr>
        <w:t xml:space="preserve">Klauzula waloryzacyjna – art. 439  ustawy </w:t>
      </w:r>
      <w:proofErr w:type="spellStart"/>
      <w:r w:rsidR="00D50F77" w:rsidRPr="00FF2F78">
        <w:rPr>
          <w:rFonts w:ascii="Palatino Linotype" w:hAnsi="Palatino Linotype" w:cs="Open Sans"/>
          <w:b/>
          <w:bCs/>
          <w:spacing w:val="-13"/>
          <w:sz w:val="24"/>
          <w:szCs w:val="24"/>
        </w:rPr>
        <w:t>Pzp</w:t>
      </w:r>
      <w:proofErr w:type="spellEnd"/>
    </w:p>
    <w:p w:rsidR="00FF2F78" w:rsidRPr="00FF2F78" w:rsidRDefault="00FF2F78" w:rsidP="00FF2F78">
      <w:pPr>
        <w:pStyle w:val="Akapitzlist"/>
        <w:tabs>
          <w:tab w:val="left" w:pos="426"/>
        </w:tabs>
        <w:overflowPunct w:val="0"/>
        <w:ind w:left="1080"/>
        <w:mirrorIndents/>
        <w:jc w:val="both"/>
        <w:textAlignment w:val="baseline"/>
        <w:rPr>
          <w:rFonts w:ascii="Palatino Linotype" w:hAnsi="Palatino Linotype" w:cs="Open Sans"/>
          <w:bCs/>
          <w:spacing w:val="-13"/>
          <w:sz w:val="24"/>
          <w:szCs w:val="24"/>
        </w:rPr>
      </w:pPr>
    </w:p>
    <w:p w:rsidR="00D50F77" w:rsidRPr="00CA7DA7" w:rsidRDefault="00D50F77" w:rsidP="00D50F77">
      <w:pPr>
        <w:pStyle w:val="Tekstpodstawowy"/>
        <w:widowControl/>
        <w:autoSpaceDE/>
        <w:autoSpaceDN/>
        <w:adjustRightInd/>
        <w:spacing w:line="276" w:lineRule="auto"/>
        <w:ind w:left="1080"/>
        <w:jc w:val="left"/>
        <w:rPr>
          <w:rFonts w:ascii="Palatino Linotype" w:hAnsi="Palatino Linotype" w:cs="Calibri"/>
          <w:b/>
          <w:lang w:val="pl-PL" w:eastAsia="en-US"/>
        </w:rPr>
      </w:pPr>
      <w:r w:rsidRPr="00CA7DA7">
        <w:rPr>
          <w:rFonts w:ascii="Palatino Linotype" w:hAnsi="Palatino Linotype" w:cs="Calibri"/>
          <w:b/>
          <w:lang w:val="pl-PL" w:eastAsia="en-US"/>
        </w:rPr>
        <w:t>Po zmianie</w:t>
      </w:r>
    </w:p>
    <w:p w:rsidR="00CA7DA7" w:rsidRPr="00FF2F78" w:rsidRDefault="00CA7DA7" w:rsidP="00E274F8">
      <w:pPr>
        <w:tabs>
          <w:tab w:val="left" w:pos="426"/>
        </w:tabs>
        <w:overflowPunct w:val="0"/>
        <w:ind w:left="426"/>
        <w:contextualSpacing/>
        <w:mirrorIndents/>
        <w:jc w:val="center"/>
        <w:textAlignment w:val="baseline"/>
        <w:rPr>
          <w:rFonts w:ascii="Palatino Linotype" w:hAnsi="Palatino Linotype" w:cs="Open Sans"/>
          <w:bCs/>
          <w:spacing w:val="-13"/>
          <w:sz w:val="24"/>
          <w:szCs w:val="24"/>
        </w:rPr>
      </w:pPr>
      <w:bookmarkStart w:id="0" w:name="_Hlk120001597"/>
      <w:r w:rsidRPr="00FF2F78">
        <w:rPr>
          <w:rFonts w:ascii="Palatino Linotype" w:hAnsi="Palatino Linotype" w:cs="Open Sans"/>
          <w:bCs/>
          <w:spacing w:val="-13"/>
          <w:sz w:val="24"/>
          <w:szCs w:val="24"/>
        </w:rPr>
        <w:t>§ 2a</w:t>
      </w:r>
    </w:p>
    <w:p w:rsidR="00CA7DA7" w:rsidRPr="00FF2F78" w:rsidRDefault="00CA7DA7" w:rsidP="00E274F8">
      <w:pPr>
        <w:tabs>
          <w:tab w:val="left" w:pos="426"/>
        </w:tabs>
        <w:overflowPunct w:val="0"/>
        <w:ind w:left="426"/>
        <w:contextualSpacing/>
        <w:mirrorIndents/>
        <w:jc w:val="center"/>
        <w:textAlignment w:val="baseline"/>
        <w:rPr>
          <w:rFonts w:ascii="Palatino Linotype" w:hAnsi="Palatino Linotype" w:cs="Open Sans"/>
          <w:bCs/>
          <w:spacing w:val="-13"/>
          <w:sz w:val="24"/>
          <w:szCs w:val="24"/>
        </w:rPr>
      </w:pPr>
      <w:bookmarkStart w:id="1" w:name="_Hlk119931183"/>
      <w:r w:rsidRPr="00FF2F78">
        <w:rPr>
          <w:rFonts w:ascii="Palatino Linotype" w:hAnsi="Palatino Linotype" w:cs="Open Sans"/>
          <w:bCs/>
          <w:spacing w:val="-13"/>
          <w:sz w:val="24"/>
          <w:szCs w:val="24"/>
        </w:rPr>
        <w:t xml:space="preserve">Klauzula waloryzacyjna – art. 439  ustawy </w:t>
      </w:r>
      <w:proofErr w:type="spellStart"/>
      <w:r w:rsidRPr="00FF2F78">
        <w:rPr>
          <w:rFonts w:ascii="Palatino Linotype" w:hAnsi="Palatino Linotype" w:cs="Open Sans"/>
          <w:bCs/>
          <w:spacing w:val="-13"/>
          <w:sz w:val="24"/>
          <w:szCs w:val="24"/>
        </w:rPr>
        <w:t>Pzp</w:t>
      </w:r>
      <w:proofErr w:type="spellEnd"/>
    </w:p>
    <w:bookmarkEnd w:id="1"/>
    <w:p w:rsidR="00E274F8" w:rsidRDefault="00CA7DA7" w:rsidP="00E274F8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4"/>
          <w:szCs w:val="24"/>
        </w:rPr>
      </w:pPr>
      <w:r w:rsidRPr="00CA7DA7">
        <w:rPr>
          <w:rFonts w:ascii="Palatino Linotype" w:hAnsi="Palatino Linotype"/>
          <w:sz w:val="24"/>
          <w:szCs w:val="24"/>
        </w:rPr>
        <w:lastRenderedPageBreak/>
        <w:t xml:space="preserve">Zgodnie z art. 439 ustawy </w:t>
      </w:r>
      <w:proofErr w:type="spellStart"/>
      <w:r w:rsidRPr="00CA7DA7">
        <w:rPr>
          <w:rFonts w:ascii="Palatino Linotype" w:hAnsi="Palatino Linotype"/>
          <w:sz w:val="24"/>
          <w:szCs w:val="24"/>
        </w:rPr>
        <w:t>Pzp</w:t>
      </w:r>
      <w:proofErr w:type="spellEnd"/>
      <w:r w:rsidRPr="00CA7DA7">
        <w:rPr>
          <w:rFonts w:ascii="Palatino Linotype" w:hAnsi="Palatino Linotype"/>
          <w:sz w:val="24"/>
          <w:szCs w:val="24"/>
        </w:rPr>
        <w:t xml:space="preserve">, wysokość wynagrodzenia należnego Wykonawcy może podlegać waloryzacji w przypadku zmiany ceny materiałów lub kosztów związanych z realizacją Przedmiotu umowy. Przez zmianę ceny materiałów lub kosztów rozumie się wzrost odpowiednio cen lub kosztów, jak i ich obniżenie, względem ceny lub kosztu przyjętych w celu ustalenia wynagrodzenia Wykonawcy zwartego w złożonej ofercie. </w:t>
      </w:r>
    </w:p>
    <w:p w:rsidR="00E274F8" w:rsidRDefault="00CA7DA7" w:rsidP="00E274F8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4"/>
          <w:szCs w:val="24"/>
        </w:rPr>
      </w:pPr>
      <w:r w:rsidRPr="00CA7DA7">
        <w:rPr>
          <w:rFonts w:ascii="Palatino Linotype" w:hAnsi="Palatino Linotype"/>
          <w:sz w:val="24"/>
          <w:szCs w:val="24"/>
        </w:rPr>
        <w:t xml:space="preserve">Strony mogą żądać zmiany wysokości wynagrodzenia w sytuacji, o której mowa w ust. 1 niniejszego paragrafu w przypadku gdy wartość zmiany przekracza 5% wynagrodzenia. Zmiana wysokości wynagrodzenia następować będzie po raz pierwszy po upływie 6 miesięcy od dnia zawarcia umowy i </w:t>
      </w:r>
      <w:r w:rsidR="00C737C7">
        <w:rPr>
          <w:rFonts w:ascii="Palatino Linotype" w:hAnsi="Palatino Linotype"/>
          <w:sz w:val="24"/>
          <w:szCs w:val="24"/>
        </w:rPr>
        <w:t>wprowadzona będzie</w:t>
      </w:r>
      <w:r w:rsidR="00CA683B" w:rsidRPr="00CA7DA7">
        <w:rPr>
          <w:rFonts w:ascii="Palatino Linotype" w:hAnsi="Palatino Linotype"/>
          <w:sz w:val="24"/>
          <w:szCs w:val="24"/>
        </w:rPr>
        <w:t xml:space="preserve"> </w:t>
      </w:r>
      <w:r w:rsidR="00CA683B">
        <w:rPr>
          <w:rFonts w:ascii="Palatino Linotype" w:hAnsi="Palatino Linotype"/>
          <w:sz w:val="24"/>
          <w:szCs w:val="24"/>
        </w:rPr>
        <w:t xml:space="preserve">w oparciu </w:t>
      </w:r>
      <w:r w:rsidRPr="00CA7DA7">
        <w:rPr>
          <w:rFonts w:ascii="Palatino Linotype" w:hAnsi="Palatino Linotype"/>
          <w:sz w:val="24"/>
          <w:szCs w:val="24"/>
        </w:rPr>
        <w:t>o</w:t>
      </w:r>
      <w:r w:rsidR="00CA683B">
        <w:rPr>
          <w:rFonts w:ascii="Palatino Linotype" w:hAnsi="Palatino Linotype"/>
          <w:sz w:val="24"/>
          <w:szCs w:val="24"/>
        </w:rPr>
        <w:t xml:space="preserve"> wskaźnik </w:t>
      </w:r>
      <w:r w:rsidR="00CA683B" w:rsidRPr="00CA683B">
        <w:rPr>
          <w:rFonts w:ascii="Palatino Linotype" w:hAnsi="Palatino Linotype"/>
          <w:sz w:val="24"/>
          <w:szCs w:val="24"/>
        </w:rPr>
        <w:t xml:space="preserve">cen towarów i usług konsumpcyjnych </w:t>
      </w:r>
      <w:r w:rsidRPr="00CA7DA7">
        <w:rPr>
          <w:rFonts w:ascii="Palatino Linotype" w:hAnsi="Palatino Linotype"/>
          <w:sz w:val="24"/>
          <w:szCs w:val="24"/>
        </w:rPr>
        <w:t>ogł</w:t>
      </w:r>
      <w:r w:rsidR="00CA683B">
        <w:rPr>
          <w:rFonts w:ascii="Palatino Linotype" w:hAnsi="Palatino Linotype"/>
          <w:sz w:val="24"/>
          <w:szCs w:val="24"/>
        </w:rPr>
        <w:t>a</w:t>
      </w:r>
      <w:r w:rsidRPr="00CA7DA7">
        <w:rPr>
          <w:rFonts w:ascii="Palatino Linotype" w:hAnsi="Palatino Linotype"/>
          <w:sz w:val="24"/>
          <w:szCs w:val="24"/>
        </w:rPr>
        <w:t>sz</w:t>
      </w:r>
      <w:r w:rsidR="00CA683B">
        <w:rPr>
          <w:rFonts w:ascii="Palatino Linotype" w:hAnsi="Palatino Linotype"/>
          <w:sz w:val="24"/>
          <w:szCs w:val="24"/>
        </w:rPr>
        <w:t>any co kwartał</w:t>
      </w:r>
      <w:r w:rsidRPr="00CA7DA7">
        <w:rPr>
          <w:rFonts w:ascii="Palatino Linotype" w:hAnsi="Palatino Linotype"/>
          <w:sz w:val="24"/>
          <w:szCs w:val="24"/>
        </w:rPr>
        <w:t xml:space="preserve"> </w:t>
      </w:r>
      <w:r w:rsidR="00CA683B">
        <w:rPr>
          <w:rFonts w:ascii="Palatino Linotype" w:hAnsi="Palatino Linotype"/>
          <w:sz w:val="24"/>
          <w:szCs w:val="24"/>
        </w:rPr>
        <w:t xml:space="preserve">przez </w:t>
      </w:r>
      <w:r w:rsidRPr="00CA7DA7">
        <w:rPr>
          <w:rFonts w:ascii="Palatino Linotype" w:hAnsi="Palatino Linotype"/>
          <w:sz w:val="24"/>
          <w:szCs w:val="24"/>
        </w:rPr>
        <w:t xml:space="preserve">Prezesa Głównego Urzędu Statystycznego. </w:t>
      </w:r>
    </w:p>
    <w:p w:rsidR="00E274F8" w:rsidRDefault="00CA7DA7" w:rsidP="00E274F8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4"/>
          <w:szCs w:val="24"/>
        </w:rPr>
      </w:pPr>
      <w:r w:rsidRPr="00CA7DA7">
        <w:rPr>
          <w:rFonts w:ascii="Palatino Linotype" w:hAnsi="Palatino Linotype"/>
          <w:sz w:val="24"/>
          <w:szCs w:val="24"/>
        </w:rPr>
        <w:t xml:space="preserve">Wartość zmiany wynagrodzenia nie może przekroczyć wartości zmiany kosztów związanych z realizacją umowy wskazanej przez Wykonawcę oraz dotyczyć będzie tylko wynagrodzenia </w:t>
      </w:r>
      <w:r w:rsidR="00C737C7">
        <w:rPr>
          <w:rFonts w:ascii="Palatino Linotype" w:hAnsi="Palatino Linotype"/>
          <w:sz w:val="24"/>
          <w:szCs w:val="24"/>
        </w:rPr>
        <w:t xml:space="preserve">Wykonawcy </w:t>
      </w:r>
      <w:r w:rsidRPr="00CA7DA7">
        <w:rPr>
          <w:rFonts w:ascii="Palatino Linotype" w:hAnsi="Palatino Linotype"/>
          <w:sz w:val="24"/>
          <w:szCs w:val="24"/>
        </w:rPr>
        <w:t xml:space="preserve">niewypłaconego </w:t>
      </w:r>
      <w:r w:rsidR="00CA683B">
        <w:rPr>
          <w:rFonts w:ascii="Palatino Linotype" w:hAnsi="Palatino Linotype"/>
          <w:sz w:val="24"/>
          <w:szCs w:val="24"/>
        </w:rPr>
        <w:t xml:space="preserve">jeszcze do momentu ogłoszenia komunikatu </w:t>
      </w:r>
      <w:r w:rsidR="00C737C7">
        <w:rPr>
          <w:rFonts w:ascii="Palatino Linotype" w:hAnsi="Palatino Linotype"/>
          <w:sz w:val="24"/>
          <w:szCs w:val="24"/>
        </w:rPr>
        <w:t xml:space="preserve">Prezesa Głównego Urzędu Statystycznego </w:t>
      </w:r>
      <w:r w:rsidR="00CA683B">
        <w:rPr>
          <w:rFonts w:ascii="Palatino Linotype" w:hAnsi="Palatino Linotype"/>
          <w:sz w:val="24"/>
          <w:szCs w:val="24"/>
        </w:rPr>
        <w:t>będącego podstawą zmiany</w:t>
      </w:r>
      <w:r w:rsidRPr="00CA7DA7">
        <w:rPr>
          <w:rFonts w:ascii="Palatino Linotype" w:hAnsi="Palatino Linotype"/>
          <w:sz w:val="24"/>
          <w:szCs w:val="24"/>
        </w:rPr>
        <w:t>.</w:t>
      </w:r>
    </w:p>
    <w:p w:rsidR="00E274F8" w:rsidRDefault="00CA7DA7" w:rsidP="00E274F8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4"/>
          <w:szCs w:val="24"/>
        </w:rPr>
      </w:pPr>
      <w:r w:rsidRPr="00CA7DA7">
        <w:rPr>
          <w:rFonts w:ascii="Palatino Linotype" w:hAnsi="Palatino Linotype"/>
          <w:sz w:val="24"/>
          <w:szCs w:val="24"/>
        </w:rPr>
        <w:t xml:space="preserve">Kolejna zmiana wysokości wynagrodzenia może nastąpić w przypadku, gdy od momentu ostatniej zmiany wysokości wynagrodzenia nastąpiła zmiana kosztów związanych z realizacją umowy o wartość określoną w ust. 2 niniejszego paragrafu. </w:t>
      </w:r>
    </w:p>
    <w:p w:rsidR="00E274F8" w:rsidRDefault="00CA7DA7" w:rsidP="00E274F8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4"/>
          <w:szCs w:val="24"/>
        </w:rPr>
      </w:pPr>
      <w:r w:rsidRPr="00CA7DA7">
        <w:rPr>
          <w:rFonts w:ascii="Palatino Linotype" w:hAnsi="Palatino Linotype"/>
          <w:sz w:val="24"/>
          <w:szCs w:val="24"/>
        </w:rPr>
        <w:t xml:space="preserve">W okresie obowiązywania umowy zmiana (zmniejszenie lub zwiększenie) </w:t>
      </w:r>
      <w:bookmarkStart w:id="2" w:name="_GoBack"/>
      <w:r w:rsidRPr="00CA7DA7">
        <w:rPr>
          <w:rFonts w:ascii="Palatino Linotype" w:hAnsi="Palatino Linotype"/>
          <w:sz w:val="24"/>
          <w:szCs w:val="24"/>
        </w:rPr>
        <w:t xml:space="preserve">wysokości wynagrodzenia nie może łącznie przekroczyć 10% wysokości </w:t>
      </w:r>
      <w:bookmarkEnd w:id="2"/>
      <w:r w:rsidRPr="00CA7DA7">
        <w:rPr>
          <w:rFonts w:ascii="Palatino Linotype" w:hAnsi="Palatino Linotype"/>
          <w:sz w:val="24"/>
          <w:szCs w:val="24"/>
        </w:rPr>
        <w:t xml:space="preserve">wynagrodzenia określnego w dniu zawarcia umowy. </w:t>
      </w:r>
    </w:p>
    <w:p w:rsidR="00E274F8" w:rsidRDefault="00CA7DA7" w:rsidP="00E274F8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4"/>
          <w:szCs w:val="24"/>
        </w:rPr>
      </w:pPr>
      <w:r w:rsidRPr="00CA7DA7">
        <w:rPr>
          <w:rFonts w:ascii="Palatino Linotype" w:hAnsi="Palatino Linotype"/>
          <w:sz w:val="24"/>
          <w:szCs w:val="24"/>
        </w:rPr>
        <w:t>W przypadku zmiany wysokości wynagrodzenia Wykonawca zobowiązany jest do zmiany wynagrodzenia przysługującego podwykonawcy, z którym zawarł umowę, w zakresie odpowiadającym zmianom cen materiałów lub kosztów dotyczących zobowiązania podwykonawcy</w:t>
      </w:r>
    </w:p>
    <w:p w:rsidR="00E274F8" w:rsidRDefault="00CA7DA7" w:rsidP="00E274F8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4"/>
          <w:szCs w:val="24"/>
        </w:rPr>
      </w:pPr>
      <w:r w:rsidRPr="00CA7DA7">
        <w:rPr>
          <w:rFonts w:ascii="Palatino Linotype" w:hAnsi="Palatino Linotype"/>
          <w:sz w:val="24"/>
          <w:szCs w:val="24"/>
        </w:rPr>
        <w:t>Strony umowy wprowadzą zmianę wysokości wynagrodzenia pod warunkiem, że Wykonawca wykaże na piśmie, że zmiany te będą miały wpływ na koszty wykonania umowy. W tym celu Wykonawca przedstawi Zamawiającemu szczegółową kalkulację kosztów według stanu sprzed zmiany oraz szczegółową kalkulację kosztów według stanu po wprowadzeniu zmiany oraz wskaże nową kwotę jednostkową.</w:t>
      </w:r>
    </w:p>
    <w:p w:rsidR="00E274F8" w:rsidRDefault="00CA7DA7" w:rsidP="00E274F8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4"/>
          <w:szCs w:val="24"/>
        </w:rPr>
      </w:pPr>
      <w:r w:rsidRPr="00CA7DA7">
        <w:rPr>
          <w:rFonts w:ascii="Palatino Linotype" w:hAnsi="Palatino Linotype"/>
          <w:sz w:val="24"/>
          <w:szCs w:val="24"/>
        </w:rPr>
        <w:t xml:space="preserve">Zamawiający ustosunkuje się pisemnie do przedstawionej kalkulacji poprzez zaakceptowanie wskazanej przez Wykonawcę kwoty lub poprzez zgłoszenia zastrzeżeń i żądanie wyjaśnień do elementów kalkulacji. </w:t>
      </w:r>
    </w:p>
    <w:p w:rsidR="00E274F8" w:rsidRDefault="00CA7DA7" w:rsidP="00E274F8">
      <w:pPr>
        <w:pStyle w:val="Akapitzlist"/>
        <w:numPr>
          <w:ilvl w:val="0"/>
          <w:numId w:val="27"/>
        </w:numPr>
        <w:jc w:val="both"/>
        <w:rPr>
          <w:rFonts w:ascii="Palatino Linotype" w:hAnsi="Palatino Linotype"/>
          <w:sz w:val="24"/>
          <w:szCs w:val="24"/>
        </w:rPr>
      </w:pPr>
      <w:r w:rsidRPr="00CA7DA7">
        <w:rPr>
          <w:rFonts w:ascii="Palatino Linotype" w:hAnsi="Palatino Linotype"/>
          <w:sz w:val="24"/>
          <w:szCs w:val="24"/>
        </w:rPr>
        <w:t xml:space="preserve">Dokonanie zmian, o których powyżej wymagają zmiany Umowy w formie aneksu. </w:t>
      </w:r>
    </w:p>
    <w:p w:rsidR="00FF2F78" w:rsidRPr="00FF2F78" w:rsidRDefault="00FF2F78" w:rsidP="00FF2F78">
      <w:pPr>
        <w:pStyle w:val="Akapitzlist"/>
        <w:jc w:val="both"/>
        <w:rPr>
          <w:rFonts w:ascii="Palatino Linotype" w:hAnsi="Palatino Linotype"/>
          <w:b/>
          <w:sz w:val="24"/>
          <w:szCs w:val="24"/>
        </w:rPr>
      </w:pPr>
    </w:p>
    <w:bookmarkEnd w:id="0"/>
    <w:p w:rsidR="00D50F77" w:rsidRPr="00FF2F78" w:rsidRDefault="00FF2F78" w:rsidP="00FF2F78">
      <w:pPr>
        <w:pStyle w:val="Akapitzlist"/>
        <w:numPr>
          <w:ilvl w:val="0"/>
          <w:numId w:val="21"/>
        </w:numPr>
        <w:tabs>
          <w:tab w:val="left" w:pos="426"/>
        </w:tabs>
        <w:overflowPunct w:val="0"/>
        <w:mirrorIndents/>
        <w:jc w:val="both"/>
        <w:textAlignment w:val="baseline"/>
        <w:rPr>
          <w:rFonts w:ascii="Palatino Linotype" w:hAnsi="Palatino Linotype"/>
          <w:b/>
          <w:sz w:val="24"/>
          <w:szCs w:val="24"/>
        </w:rPr>
      </w:pPr>
      <w:r w:rsidRPr="00FF2F78">
        <w:rPr>
          <w:rFonts w:ascii="Palatino Linotype" w:hAnsi="Palatino Linotype"/>
          <w:b/>
          <w:sz w:val="24"/>
          <w:szCs w:val="24"/>
        </w:rPr>
        <w:t>Zmianie ulegają postanowienia zawarte w Załączniku nr 5 do SWZ (wzór umowy) poprzez dodanie w § 11 Kary umowne ustępu 6a.</w:t>
      </w:r>
    </w:p>
    <w:p w:rsidR="00FF2F78" w:rsidRPr="00CA7DA7" w:rsidRDefault="00FF2F78" w:rsidP="00FF2F78">
      <w:pPr>
        <w:pStyle w:val="Tekstpodstawowy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left"/>
        <w:rPr>
          <w:rFonts w:ascii="Palatino Linotype" w:hAnsi="Palatino Linotype" w:cs="Calibri"/>
          <w:b/>
          <w:lang w:val="pl-PL" w:eastAsia="en-US"/>
        </w:rPr>
      </w:pPr>
      <w:r w:rsidRPr="00CA7DA7">
        <w:rPr>
          <w:rFonts w:ascii="Palatino Linotype" w:hAnsi="Palatino Linotype" w:cs="Calibri"/>
          <w:b/>
          <w:lang w:val="pl-PL" w:eastAsia="en-US"/>
        </w:rPr>
        <w:t>Po zmianie</w:t>
      </w:r>
    </w:p>
    <w:p w:rsidR="00FF2F78" w:rsidRDefault="00FF2F78" w:rsidP="00FF2F78">
      <w:pPr>
        <w:pStyle w:val="Akapitzlist"/>
        <w:tabs>
          <w:tab w:val="left" w:pos="426"/>
        </w:tabs>
        <w:overflowPunct w:val="0"/>
        <w:ind w:left="1080"/>
        <w:mirrorIndents/>
        <w:jc w:val="both"/>
        <w:textAlignment w:val="baseline"/>
        <w:rPr>
          <w:rFonts w:ascii="Palatino Linotype" w:hAnsi="Palatino Linotype"/>
          <w:szCs w:val="22"/>
        </w:rPr>
      </w:pPr>
    </w:p>
    <w:p w:rsidR="00FF2F78" w:rsidRPr="00FF2F78" w:rsidRDefault="00FF2F78" w:rsidP="00FF2F78">
      <w:pPr>
        <w:pStyle w:val="Akapitzlist"/>
        <w:tabs>
          <w:tab w:val="left" w:pos="426"/>
        </w:tabs>
        <w:overflowPunct w:val="0"/>
        <w:ind w:left="1080"/>
        <w:mirrorIndents/>
        <w:jc w:val="both"/>
        <w:textAlignment w:val="baseline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Cs w:val="22"/>
        </w:rPr>
        <w:t xml:space="preserve">6a. </w:t>
      </w:r>
      <w:r w:rsidRPr="00A40767">
        <w:rPr>
          <w:rFonts w:ascii="Palatino Linotype" w:hAnsi="Palatino Linotype"/>
          <w:szCs w:val="22"/>
        </w:rPr>
        <w:t xml:space="preserve">W przypadku </w:t>
      </w:r>
      <w:r w:rsidRPr="00A40767">
        <w:rPr>
          <w:rFonts w:ascii="Palatino Linotype" w:hAnsi="Palatino Linotype" w:cs="Open Sans"/>
          <w:sz w:val="24"/>
          <w:szCs w:val="24"/>
        </w:rPr>
        <w:t xml:space="preserve">braku zapłaty lub nieterminowej zapłaty wynagrodzenia należnego podwykonawcom z tytułu zmiany wysokości wynagrodzenia, o której mowa w § </w:t>
      </w:r>
      <w:r w:rsidRPr="00A40767">
        <w:rPr>
          <w:rFonts w:ascii="Palatino Linotype" w:hAnsi="Palatino Linotype" w:cs="Open Sans"/>
        </w:rPr>
        <w:t>2a</w:t>
      </w:r>
      <w:r w:rsidRPr="00A40767">
        <w:rPr>
          <w:rFonts w:ascii="Palatino Linotype" w:hAnsi="Palatino Linotype" w:cs="Open Sans"/>
          <w:sz w:val="24"/>
          <w:szCs w:val="24"/>
        </w:rPr>
        <w:t xml:space="preserve"> ust. </w:t>
      </w:r>
      <w:r w:rsidRPr="00A40767">
        <w:rPr>
          <w:rFonts w:ascii="Palatino Linotype" w:hAnsi="Palatino Linotype" w:cs="Open Sans"/>
        </w:rPr>
        <w:t>6</w:t>
      </w:r>
      <w:r w:rsidRPr="00A40767">
        <w:rPr>
          <w:rFonts w:ascii="Palatino Linotype" w:hAnsi="Palatino Linotype" w:cs="Open Sans"/>
          <w:sz w:val="24"/>
          <w:szCs w:val="24"/>
        </w:rPr>
        <w:t xml:space="preserve"> </w:t>
      </w:r>
      <w:r w:rsidRPr="00A40767">
        <w:rPr>
          <w:rFonts w:ascii="Palatino Linotype" w:hAnsi="Palatino Linotype" w:cs="Open Sans"/>
        </w:rPr>
        <w:t>niniejszej u</w:t>
      </w:r>
      <w:r w:rsidRPr="00A40767">
        <w:rPr>
          <w:rFonts w:ascii="Palatino Linotype" w:hAnsi="Palatino Linotype" w:cs="Open Sans"/>
          <w:sz w:val="24"/>
          <w:szCs w:val="24"/>
        </w:rPr>
        <w:t>mowy - w wysokości 0,02% wartości nieterminowo zapłaconej kwoty lub niezapłaconej przez Wykonawcę kwoty należnej podwykonawcy lub dalszemu podwykonawcy za każdy dzień zwłoki</w:t>
      </w:r>
      <w:r>
        <w:rPr>
          <w:rFonts w:ascii="Palatino Linotype" w:hAnsi="Palatino Linotype" w:cs="Open Sans"/>
          <w:sz w:val="24"/>
          <w:szCs w:val="24"/>
        </w:rPr>
        <w:t>.</w:t>
      </w:r>
    </w:p>
    <w:sectPr w:rsidR="00FF2F78" w:rsidRPr="00FF2F78" w:rsidSect="00444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AC" w:rsidRDefault="00DD48AC" w:rsidP="006013BE">
      <w:r>
        <w:separator/>
      </w:r>
    </w:p>
  </w:endnote>
  <w:endnote w:type="continuationSeparator" w:id="0">
    <w:p w:rsidR="00DD48AC" w:rsidRDefault="00DD48AC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DE" w:rsidRDefault="00FA0654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61AED">
      <w:rPr>
        <w:rFonts w:ascii="Palatino Linotype" w:hAnsi="Palatino Linotype"/>
        <w:noProof/>
        <w:sz w:val="18"/>
        <w:szCs w:val="18"/>
      </w:rPr>
      <w:drawing>
        <wp:inline distT="0" distB="0" distL="0" distR="0">
          <wp:extent cx="4149090" cy="300355"/>
          <wp:effectExtent l="0" t="0" r="0" b="0"/>
          <wp:docPr id="2" name="Obraz 2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417" w:rsidRPr="0003370D" w:rsidRDefault="00BB3F55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Archiwum Narodowe w Krakowie</w:t>
    </w:r>
    <w:r w:rsidR="00331417" w:rsidRPr="0003370D">
      <w:rPr>
        <w:rFonts w:ascii="Calibri" w:hAnsi="Calibri" w:cs="Calibri"/>
        <w:sz w:val="20"/>
      </w:rPr>
      <w:t xml:space="preserve"> - </w:t>
    </w:r>
    <w:r w:rsidR="0044400C" w:rsidRPr="0003370D">
      <w:rPr>
        <w:rFonts w:ascii="Calibri" w:hAnsi="Calibri" w:cs="Calibri"/>
        <w:sz w:val="20"/>
      </w:rPr>
      <w:t xml:space="preserve">ul. </w:t>
    </w:r>
    <w:r w:rsidR="00E77EAB" w:rsidRPr="00507A42">
      <w:rPr>
        <w:rFonts w:ascii="Calibri" w:hAnsi="Calibri" w:cs="Calibri"/>
        <w:sz w:val="20"/>
      </w:rPr>
      <w:t xml:space="preserve">Rakowicka 22E, 31-510 </w:t>
    </w:r>
    <w:r>
      <w:rPr>
        <w:rFonts w:ascii="Calibri" w:hAnsi="Calibri" w:cs="Calibri"/>
        <w:sz w:val="20"/>
      </w:rPr>
      <w:t>Kraków</w:t>
    </w:r>
  </w:p>
  <w:p w:rsidR="00CB7743" w:rsidRPr="00637D35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637D35">
      <w:rPr>
        <w:rFonts w:ascii="Calibri" w:hAnsi="Calibri" w:cs="Calibri"/>
        <w:sz w:val="20"/>
      </w:rPr>
      <w:t>telefon: (</w:t>
    </w:r>
    <w:r w:rsidR="00BB3F55" w:rsidRPr="00637D35">
      <w:rPr>
        <w:rFonts w:ascii="Calibri" w:hAnsi="Calibri" w:cs="Calibri"/>
        <w:sz w:val="20"/>
      </w:rPr>
      <w:t>12</w:t>
    </w:r>
    <w:r w:rsidRPr="00637D35">
      <w:rPr>
        <w:rFonts w:ascii="Calibri" w:hAnsi="Calibri" w:cs="Calibri"/>
        <w:sz w:val="20"/>
      </w:rPr>
      <w:t xml:space="preserve">) </w:t>
    </w:r>
    <w:r w:rsidR="00E77EAB" w:rsidRPr="00507A42">
      <w:rPr>
        <w:rFonts w:ascii="Calibri" w:hAnsi="Calibri" w:cs="Calibri"/>
        <w:sz w:val="20"/>
      </w:rPr>
      <w:t>370-56-00</w:t>
    </w:r>
    <w:r w:rsidRPr="00637D35">
      <w:rPr>
        <w:rFonts w:ascii="Calibri" w:hAnsi="Calibri" w:cs="Calibri"/>
        <w:sz w:val="20"/>
      </w:rPr>
      <w:t xml:space="preserve">; email: </w:t>
    </w:r>
    <w:r w:rsidR="00BB3F55" w:rsidRPr="00637D35">
      <w:rPr>
        <w:rFonts w:ascii="Calibri" w:hAnsi="Calibri" w:cs="Calibri"/>
        <w:sz w:val="20"/>
      </w:rPr>
      <w:t>sekretariat</w:t>
    </w:r>
    <w:r w:rsidRPr="00637D35">
      <w:rPr>
        <w:rFonts w:ascii="Calibri" w:hAnsi="Calibri" w:cs="Calibri"/>
        <w:sz w:val="20"/>
      </w:rPr>
      <w:t>@</w:t>
    </w:r>
    <w:r w:rsidR="00BB3F55" w:rsidRPr="00637D35">
      <w:rPr>
        <w:rFonts w:ascii="Calibri" w:hAnsi="Calibri" w:cs="Calibri"/>
        <w:sz w:val="20"/>
      </w:rPr>
      <w:t>ank.gov.pl</w:t>
    </w:r>
    <w:r w:rsidRPr="00637D35">
      <w:rPr>
        <w:rFonts w:ascii="Calibri" w:hAnsi="Calibri" w:cs="Calibri"/>
        <w:sz w:val="20"/>
      </w:rPr>
      <w:t xml:space="preserve">; </w:t>
    </w:r>
    <w:r w:rsidR="00BB3F55" w:rsidRPr="00637D35">
      <w:rPr>
        <w:rFonts w:ascii="Calibri" w:hAnsi="Calibri" w:cs="Calibri"/>
        <w:sz w:val="20"/>
      </w:rPr>
      <w:t>www.ank.gov.pl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F2" w:rsidRDefault="00961AED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>
          <wp:extent cx="5745480" cy="723265"/>
          <wp:effectExtent l="0" t="0" r="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AC" w:rsidRDefault="00DD48AC" w:rsidP="006013BE">
      <w:r>
        <w:separator/>
      </w:r>
    </w:p>
  </w:footnote>
  <w:footnote w:type="continuationSeparator" w:id="0">
    <w:p w:rsidR="00DD48AC" w:rsidRDefault="00DD48AC" w:rsidP="006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6EE1B08"/>
    <w:multiLevelType w:val="hybridMultilevel"/>
    <w:tmpl w:val="752C7FD0"/>
    <w:lvl w:ilvl="0" w:tplc="F87E82D0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408C7"/>
    <w:multiLevelType w:val="hybridMultilevel"/>
    <w:tmpl w:val="D5827FB6"/>
    <w:lvl w:ilvl="0" w:tplc="77B609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2E3776"/>
    <w:multiLevelType w:val="hybridMultilevel"/>
    <w:tmpl w:val="CD2E19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FD118C"/>
    <w:multiLevelType w:val="hybridMultilevel"/>
    <w:tmpl w:val="33302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53424A"/>
    <w:multiLevelType w:val="hybridMultilevel"/>
    <w:tmpl w:val="97540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F2AD7"/>
    <w:multiLevelType w:val="hybridMultilevel"/>
    <w:tmpl w:val="C9FA0EC0"/>
    <w:lvl w:ilvl="0" w:tplc="0846D59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9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3A42E66"/>
    <w:multiLevelType w:val="hybridMultilevel"/>
    <w:tmpl w:val="B4EEC320"/>
    <w:lvl w:ilvl="0" w:tplc="1D4E7A78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26"/>
  </w:num>
  <w:num w:numId="5">
    <w:abstractNumId w:val="2"/>
  </w:num>
  <w:num w:numId="6">
    <w:abstractNumId w:val="6"/>
  </w:num>
  <w:num w:numId="7">
    <w:abstractNumId w:val="5"/>
  </w:num>
  <w:num w:numId="8">
    <w:abstractNumId w:val="22"/>
  </w:num>
  <w:num w:numId="9">
    <w:abstractNumId w:val="9"/>
  </w:num>
  <w:num w:numId="10">
    <w:abstractNumId w:val="0"/>
  </w:num>
  <w:num w:numId="11">
    <w:abstractNumId w:val="1"/>
  </w:num>
  <w:num w:numId="12">
    <w:abstractNumId w:val="19"/>
  </w:num>
  <w:num w:numId="13">
    <w:abstractNumId w:val="13"/>
  </w:num>
  <w:num w:numId="14">
    <w:abstractNumId w:val="21"/>
  </w:num>
  <w:num w:numId="15">
    <w:abstractNumId w:val="20"/>
  </w:num>
  <w:num w:numId="16">
    <w:abstractNumId w:val="23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8"/>
  </w:num>
  <w:num w:numId="21">
    <w:abstractNumId w:val="2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7"/>
    <w:rsid w:val="000008D4"/>
    <w:rsid w:val="00001CD9"/>
    <w:rsid w:val="00005667"/>
    <w:rsid w:val="00017D3F"/>
    <w:rsid w:val="000246AA"/>
    <w:rsid w:val="00025134"/>
    <w:rsid w:val="00027B60"/>
    <w:rsid w:val="0003370D"/>
    <w:rsid w:val="000379FF"/>
    <w:rsid w:val="00044F3D"/>
    <w:rsid w:val="0004792E"/>
    <w:rsid w:val="00056720"/>
    <w:rsid w:val="00062DEA"/>
    <w:rsid w:val="00067FC5"/>
    <w:rsid w:val="00070BBD"/>
    <w:rsid w:val="00073294"/>
    <w:rsid w:val="00074753"/>
    <w:rsid w:val="000758E0"/>
    <w:rsid w:val="00081A56"/>
    <w:rsid w:val="00083E5F"/>
    <w:rsid w:val="00092876"/>
    <w:rsid w:val="000B01CD"/>
    <w:rsid w:val="000B0889"/>
    <w:rsid w:val="000C580E"/>
    <w:rsid w:val="000D11E0"/>
    <w:rsid w:val="000E01A8"/>
    <w:rsid w:val="000E609C"/>
    <w:rsid w:val="000F4555"/>
    <w:rsid w:val="00114C09"/>
    <w:rsid w:val="00115DF0"/>
    <w:rsid w:val="00117918"/>
    <w:rsid w:val="0012176C"/>
    <w:rsid w:val="001223FA"/>
    <w:rsid w:val="0012586F"/>
    <w:rsid w:val="0013369B"/>
    <w:rsid w:val="0013719F"/>
    <w:rsid w:val="001404E7"/>
    <w:rsid w:val="00144D76"/>
    <w:rsid w:val="001531D0"/>
    <w:rsid w:val="00154469"/>
    <w:rsid w:val="00157EEC"/>
    <w:rsid w:val="00163104"/>
    <w:rsid w:val="00165515"/>
    <w:rsid w:val="00173D88"/>
    <w:rsid w:val="00184EF7"/>
    <w:rsid w:val="0018584D"/>
    <w:rsid w:val="00186AEB"/>
    <w:rsid w:val="00187482"/>
    <w:rsid w:val="0019059B"/>
    <w:rsid w:val="00193072"/>
    <w:rsid w:val="001941C4"/>
    <w:rsid w:val="001A490D"/>
    <w:rsid w:val="001B2357"/>
    <w:rsid w:val="001B3CAF"/>
    <w:rsid w:val="001B3D62"/>
    <w:rsid w:val="001B4989"/>
    <w:rsid w:val="001B7B48"/>
    <w:rsid w:val="001C31AE"/>
    <w:rsid w:val="001C64B7"/>
    <w:rsid w:val="001D2F95"/>
    <w:rsid w:val="001E1613"/>
    <w:rsid w:val="001E2DAB"/>
    <w:rsid w:val="001E3C45"/>
    <w:rsid w:val="001E4CC6"/>
    <w:rsid w:val="001F3C19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506B3"/>
    <w:rsid w:val="00250D29"/>
    <w:rsid w:val="0025466B"/>
    <w:rsid w:val="0026162F"/>
    <w:rsid w:val="00261C5C"/>
    <w:rsid w:val="00265B19"/>
    <w:rsid w:val="00266237"/>
    <w:rsid w:val="00266FC7"/>
    <w:rsid w:val="0027388D"/>
    <w:rsid w:val="00274848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4738"/>
    <w:rsid w:val="002D1ABB"/>
    <w:rsid w:val="002D4D24"/>
    <w:rsid w:val="002D555D"/>
    <w:rsid w:val="002D590A"/>
    <w:rsid w:val="002E137E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67"/>
    <w:rsid w:val="00361355"/>
    <w:rsid w:val="00366373"/>
    <w:rsid w:val="00370C0B"/>
    <w:rsid w:val="003739C6"/>
    <w:rsid w:val="00374501"/>
    <w:rsid w:val="003746CD"/>
    <w:rsid w:val="00374809"/>
    <w:rsid w:val="003817E4"/>
    <w:rsid w:val="00383CA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D4A8F"/>
    <w:rsid w:val="003D5489"/>
    <w:rsid w:val="003D62A5"/>
    <w:rsid w:val="003E2A7B"/>
    <w:rsid w:val="003E58AA"/>
    <w:rsid w:val="003E7184"/>
    <w:rsid w:val="003F0A6A"/>
    <w:rsid w:val="003F273A"/>
    <w:rsid w:val="003F2850"/>
    <w:rsid w:val="003F48FF"/>
    <w:rsid w:val="003F4D7A"/>
    <w:rsid w:val="003F5093"/>
    <w:rsid w:val="003F51CC"/>
    <w:rsid w:val="0040221F"/>
    <w:rsid w:val="00404D5B"/>
    <w:rsid w:val="00405915"/>
    <w:rsid w:val="0041185E"/>
    <w:rsid w:val="004157BE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6298D"/>
    <w:rsid w:val="00465F82"/>
    <w:rsid w:val="004676E8"/>
    <w:rsid w:val="00470463"/>
    <w:rsid w:val="00485E47"/>
    <w:rsid w:val="004874FC"/>
    <w:rsid w:val="0048765E"/>
    <w:rsid w:val="00495EC0"/>
    <w:rsid w:val="004A0D71"/>
    <w:rsid w:val="004B02A9"/>
    <w:rsid w:val="004B0FF7"/>
    <w:rsid w:val="004B3135"/>
    <w:rsid w:val="004B3249"/>
    <w:rsid w:val="004B5C0D"/>
    <w:rsid w:val="004D2D5F"/>
    <w:rsid w:val="004D48E8"/>
    <w:rsid w:val="004E0747"/>
    <w:rsid w:val="004E1AC6"/>
    <w:rsid w:val="004E2666"/>
    <w:rsid w:val="004F259C"/>
    <w:rsid w:val="00501D38"/>
    <w:rsid w:val="00503F2D"/>
    <w:rsid w:val="00512D8C"/>
    <w:rsid w:val="00517B86"/>
    <w:rsid w:val="00521F96"/>
    <w:rsid w:val="005234BF"/>
    <w:rsid w:val="00527F0C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70CA9"/>
    <w:rsid w:val="00571CA4"/>
    <w:rsid w:val="00573A8C"/>
    <w:rsid w:val="00577760"/>
    <w:rsid w:val="005801A2"/>
    <w:rsid w:val="005906CA"/>
    <w:rsid w:val="00594D8C"/>
    <w:rsid w:val="00595459"/>
    <w:rsid w:val="005969E7"/>
    <w:rsid w:val="005A581C"/>
    <w:rsid w:val="005C2B45"/>
    <w:rsid w:val="005C2EA4"/>
    <w:rsid w:val="005C5C3D"/>
    <w:rsid w:val="005C78FA"/>
    <w:rsid w:val="005D1767"/>
    <w:rsid w:val="005D2A25"/>
    <w:rsid w:val="005D4500"/>
    <w:rsid w:val="005E258F"/>
    <w:rsid w:val="005E2E81"/>
    <w:rsid w:val="005E3CB4"/>
    <w:rsid w:val="005F1460"/>
    <w:rsid w:val="005F26CD"/>
    <w:rsid w:val="005F315B"/>
    <w:rsid w:val="005F50AC"/>
    <w:rsid w:val="005F5F75"/>
    <w:rsid w:val="006013BE"/>
    <w:rsid w:val="00622389"/>
    <w:rsid w:val="00624502"/>
    <w:rsid w:val="00631888"/>
    <w:rsid w:val="006324FF"/>
    <w:rsid w:val="0063708A"/>
    <w:rsid w:val="00637D35"/>
    <w:rsid w:val="00640EC3"/>
    <w:rsid w:val="00642E2A"/>
    <w:rsid w:val="00642FB5"/>
    <w:rsid w:val="00652E55"/>
    <w:rsid w:val="00653467"/>
    <w:rsid w:val="0065787D"/>
    <w:rsid w:val="00664565"/>
    <w:rsid w:val="00665216"/>
    <w:rsid w:val="006658E0"/>
    <w:rsid w:val="00677715"/>
    <w:rsid w:val="00684E5D"/>
    <w:rsid w:val="00686544"/>
    <w:rsid w:val="00691322"/>
    <w:rsid w:val="0069171B"/>
    <w:rsid w:val="00692E29"/>
    <w:rsid w:val="0069433A"/>
    <w:rsid w:val="006A0271"/>
    <w:rsid w:val="006A0D9F"/>
    <w:rsid w:val="006A32D6"/>
    <w:rsid w:val="006B6F96"/>
    <w:rsid w:val="006C1D4B"/>
    <w:rsid w:val="006C3D15"/>
    <w:rsid w:val="006C64B0"/>
    <w:rsid w:val="006D3734"/>
    <w:rsid w:val="006D5454"/>
    <w:rsid w:val="006D7DA3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4C8"/>
    <w:rsid w:val="007157A5"/>
    <w:rsid w:val="00720EDE"/>
    <w:rsid w:val="0072760E"/>
    <w:rsid w:val="0073041A"/>
    <w:rsid w:val="00730DBC"/>
    <w:rsid w:val="007353CB"/>
    <w:rsid w:val="00735968"/>
    <w:rsid w:val="00737181"/>
    <w:rsid w:val="007375A2"/>
    <w:rsid w:val="00737FC1"/>
    <w:rsid w:val="0074368C"/>
    <w:rsid w:val="00744BAB"/>
    <w:rsid w:val="00745CE2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957C1"/>
    <w:rsid w:val="007A2998"/>
    <w:rsid w:val="007A46FC"/>
    <w:rsid w:val="007A679D"/>
    <w:rsid w:val="007B44AC"/>
    <w:rsid w:val="007B5796"/>
    <w:rsid w:val="007C1847"/>
    <w:rsid w:val="007C19E9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7CA"/>
    <w:rsid w:val="00813A7E"/>
    <w:rsid w:val="008254BC"/>
    <w:rsid w:val="00825A03"/>
    <w:rsid w:val="008266CA"/>
    <w:rsid w:val="0083205D"/>
    <w:rsid w:val="00834F6B"/>
    <w:rsid w:val="00836C5A"/>
    <w:rsid w:val="00843F04"/>
    <w:rsid w:val="008462AE"/>
    <w:rsid w:val="00856123"/>
    <w:rsid w:val="00857386"/>
    <w:rsid w:val="008574A4"/>
    <w:rsid w:val="0086245E"/>
    <w:rsid w:val="0086356C"/>
    <w:rsid w:val="00867B2A"/>
    <w:rsid w:val="00872D32"/>
    <w:rsid w:val="008731A6"/>
    <w:rsid w:val="00880926"/>
    <w:rsid w:val="00886B8E"/>
    <w:rsid w:val="00894C31"/>
    <w:rsid w:val="008A0A91"/>
    <w:rsid w:val="008B1938"/>
    <w:rsid w:val="008B7245"/>
    <w:rsid w:val="008D2E92"/>
    <w:rsid w:val="008D4490"/>
    <w:rsid w:val="008D78E3"/>
    <w:rsid w:val="008E31DC"/>
    <w:rsid w:val="008E4FE6"/>
    <w:rsid w:val="008E7471"/>
    <w:rsid w:val="008F011C"/>
    <w:rsid w:val="008F30A2"/>
    <w:rsid w:val="008F3D0A"/>
    <w:rsid w:val="008F69B6"/>
    <w:rsid w:val="00913B46"/>
    <w:rsid w:val="0091617A"/>
    <w:rsid w:val="00916BCB"/>
    <w:rsid w:val="00942514"/>
    <w:rsid w:val="0094267D"/>
    <w:rsid w:val="00947373"/>
    <w:rsid w:val="0095063C"/>
    <w:rsid w:val="009570A1"/>
    <w:rsid w:val="00961AED"/>
    <w:rsid w:val="009625A3"/>
    <w:rsid w:val="009643BE"/>
    <w:rsid w:val="009773FC"/>
    <w:rsid w:val="009810F5"/>
    <w:rsid w:val="00983C06"/>
    <w:rsid w:val="009850B1"/>
    <w:rsid w:val="009875C1"/>
    <w:rsid w:val="00990D97"/>
    <w:rsid w:val="0099103A"/>
    <w:rsid w:val="0099251C"/>
    <w:rsid w:val="00996D4F"/>
    <w:rsid w:val="009A0A07"/>
    <w:rsid w:val="009A58E2"/>
    <w:rsid w:val="009B3342"/>
    <w:rsid w:val="009B493C"/>
    <w:rsid w:val="009B6FB3"/>
    <w:rsid w:val="009C0D2B"/>
    <w:rsid w:val="009C0E02"/>
    <w:rsid w:val="009C0F6F"/>
    <w:rsid w:val="009C4688"/>
    <w:rsid w:val="009C5890"/>
    <w:rsid w:val="009D6094"/>
    <w:rsid w:val="009E3908"/>
    <w:rsid w:val="009F22E6"/>
    <w:rsid w:val="009F5EBE"/>
    <w:rsid w:val="00A047CB"/>
    <w:rsid w:val="00A10E9C"/>
    <w:rsid w:val="00A13877"/>
    <w:rsid w:val="00A148CB"/>
    <w:rsid w:val="00A24C13"/>
    <w:rsid w:val="00A3207F"/>
    <w:rsid w:val="00A342EB"/>
    <w:rsid w:val="00A44E57"/>
    <w:rsid w:val="00A50686"/>
    <w:rsid w:val="00A528B9"/>
    <w:rsid w:val="00A54DFA"/>
    <w:rsid w:val="00A64817"/>
    <w:rsid w:val="00A6595F"/>
    <w:rsid w:val="00A72B3B"/>
    <w:rsid w:val="00A73690"/>
    <w:rsid w:val="00A75978"/>
    <w:rsid w:val="00A81AC6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B751D"/>
    <w:rsid w:val="00AC0581"/>
    <w:rsid w:val="00AC0941"/>
    <w:rsid w:val="00AC5970"/>
    <w:rsid w:val="00AC6A2D"/>
    <w:rsid w:val="00AD5A11"/>
    <w:rsid w:val="00AE231C"/>
    <w:rsid w:val="00AE339B"/>
    <w:rsid w:val="00AE6CF8"/>
    <w:rsid w:val="00AF4B95"/>
    <w:rsid w:val="00AF4E7E"/>
    <w:rsid w:val="00AF5968"/>
    <w:rsid w:val="00B0336C"/>
    <w:rsid w:val="00B1009D"/>
    <w:rsid w:val="00B12B52"/>
    <w:rsid w:val="00B138B6"/>
    <w:rsid w:val="00B21814"/>
    <w:rsid w:val="00B24465"/>
    <w:rsid w:val="00B25542"/>
    <w:rsid w:val="00B30849"/>
    <w:rsid w:val="00B32A48"/>
    <w:rsid w:val="00B35600"/>
    <w:rsid w:val="00B40EA7"/>
    <w:rsid w:val="00B5444C"/>
    <w:rsid w:val="00B61638"/>
    <w:rsid w:val="00B642D4"/>
    <w:rsid w:val="00B66585"/>
    <w:rsid w:val="00B714A5"/>
    <w:rsid w:val="00B7207A"/>
    <w:rsid w:val="00B73AB8"/>
    <w:rsid w:val="00B77EFF"/>
    <w:rsid w:val="00B837BD"/>
    <w:rsid w:val="00BA3EA6"/>
    <w:rsid w:val="00BB0950"/>
    <w:rsid w:val="00BB3F55"/>
    <w:rsid w:val="00BB42B8"/>
    <w:rsid w:val="00BB56A2"/>
    <w:rsid w:val="00BC3803"/>
    <w:rsid w:val="00BD110D"/>
    <w:rsid w:val="00BD5CF4"/>
    <w:rsid w:val="00BE23C4"/>
    <w:rsid w:val="00BE2FA9"/>
    <w:rsid w:val="00BE4C98"/>
    <w:rsid w:val="00BF110A"/>
    <w:rsid w:val="00BF3C4B"/>
    <w:rsid w:val="00BF6420"/>
    <w:rsid w:val="00BF799A"/>
    <w:rsid w:val="00C01E2A"/>
    <w:rsid w:val="00C04B08"/>
    <w:rsid w:val="00C10698"/>
    <w:rsid w:val="00C12E08"/>
    <w:rsid w:val="00C22079"/>
    <w:rsid w:val="00C2305D"/>
    <w:rsid w:val="00C32DE5"/>
    <w:rsid w:val="00C42A6E"/>
    <w:rsid w:val="00C46238"/>
    <w:rsid w:val="00C52751"/>
    <w:rsid w:val="00C52AFA"/>
    <w:rsid w:val="00C60256"/>
    <w:rsid w:val="00C606F2"/>
    <w:rsid w:val="00C737C7"/>
    <w:rsid w:val="00C75778"/>
    <w:rsid w:val="00C8152A"/>
    <w:rsid w:val="00C85FAB"/>
    <w:rsid w:val="00C8711A"/>
    <w:rsid w:val="00C87CCA"/>
    <w:rsid w:val="00C87FA1"/>
    <w:rsid w:val="00C915DE"/>
    <w:rsid w:val="00CA5882"/>
    <w:rsid w:val="00CA683B"/>
    <w:rsid w:val="00CA7DA7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50F77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2505"/>
    <w:rsid w:val="00D831BE"/>
    <w:rsid w:val="00D91189"/>
    <w:rsid w:val="00D92F87"/>
    <w:rsid w:val="00D95A20"/>
    <w:rsid w:val="00DA2C0B"/>
    <w:rsid w:val="00DA373F"/>
    <w:rsid w:val="00DB61B9"/>
    <w:rsid w:val="00DC1970"/>
    <w:rsid w:val="00DC2379"/>
    <w:rsid w:val="00DC2414"/>
    <w:rsid w:val="00DC3473"/>
    <w:rsid w:val="00DC578E"/>
    <w:rsid w:val="00DD3CF7"/>
    <w:rsid w:val="00DD48AC"/>
    <w:rsid w:val="00DF0661"/>
    <w:rsid w:val="00DF4EDC"/>
    <w:rsid w:val="00DF76C5"/>
    <w:rsid w:val="00E10C62"/>
    <w:rsid w:val="00E16A88"/>
    <w:rsid w:val="00E17B0D"/>
    <w:rsid w:val="00E2118E"/>
    <w:rsid w:val="00E216B6"/>
    <w:rsid w:val="00E274F8"/>
    <w:rsid w:val="00E33142"/>
    <w:rsid w:val="00E33B8F"/>
    <w:rsid w:val="00E35583"/>
    <w:rsid w:val="00E3734B"/>
    <w:rsid w:val="00E41588"/>
    <w:rsid w:val="00E42539"/>
    <w:rsid w:val="00E6531A"/>
    <w:rsid w:val="00E65506"/>
    <w:rsid w:val="00E67F62"/>
    <w:rsid w:val="00E704B3"/>
    <w:rsid w:val="00E732E0"/>
    <w:rsid w:val="00E76984"/>
    <w:rsid w:val="00E77EAB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D797D"/>
    <w:rsid w:val="00EE43F9"/>
    <w:rsid w:val="00EE5218"/>
    <w:rsid w:val="00EF0CC5"/>
    <w:rsid w:val="00EF6F50"/>
    <w:rsid w:val="00F11FB2"/>
    <w:rsid w:val="00F12039"/>
    <w:rsid w:val="00F1257A"/>
    <w:rsid w:val="00F131C3"/>
    <w:rsid w:val="00F15689"/>
    <w:rsid w:val="00F156A8"/>
    <w:rsid w:val="00F2345E"/>
    <w:rsid w:val="00F23879"/>
    <w:rsid w:val="00F239B8"/>
    <w:rsid w:val="00F2641A"/>
    <w:rsid w:val="00F330E7"/>
    <w:rsid w:val="00F3351A"/>
    <w:rsid w:val="00F34479"/>
    <w:rsid w:val="00F35636"/>
    <w:rsid w:val="00F41D07"/>
    <w:rsid w:val="00F441E6"/>
    <w:rsid w:val="00F44294"/>
    <w:rsid w:val="00F5062F"/>
    <w:rsid w:val="00F52CED"/>
    <w:rsid w:val="00F56E7A"/>
    <w:rsid w:val="00F61FAB"/>
    <w:rsid w:val="00F6291D"/>
    <w:rsid w:val="00F63579"/>
    <w:rsid w:val="00F70876"/>
    <w:rsid w:val="00F71300"/>
    <w:rsid w:val="00F74918"/>
    <w:rsid w:val="00F92599"/>
    <w:rsid w:val="00F926CE"/>
    <w:rsid w:val="00FA0332"/>
    <w:rsid w:val="00FA0654"/>
    <w:rsid w:val="00FA5449"/>
    <w:rsid w:val="00FE3C80"/>
    <w:rsid w:val="00FE5222"/>
    <w:rsid w:val="00FE58C5"/>
    <w:rsid w:val="00FF2A4A"/>
    <w:rsid w:val="00FF2E96"/>
    <w:rsid w:val="00FF2F78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46DE980-7834-46E4-B098-0FEF4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69B6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2,List Paragraph,maz_wyliczenie,opis dzialania,K-P_odwolanie,A_wyliczenie"/>
    <w:basedOn w:val="Normalny"/>
    <w:link w:val="AkapitzlistZnak"/>
    <w:uiPriority w:val="34"/>
    <w:qFormat/>
    <w:rsid w:val="00E67F62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2300F9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2 Znak,K-P_odwolanie Znak"/>
    <w:link w:val="Akapitzlist"/>
    <w:uiPriority w:val="34"/>
    <w:qFormat/>
    <w:locked/>
    <w:rsid w:val="0040221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AE6BE-27E8-41C2-8FBF-8744A7B7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SWZ</vt:lpstr>
    </vt:vector>
  </TitlesOfParts>
  <Company>Archiwow Panstwowych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SWZ</dc:title>
  <dc:subject/>
  <dc:creator>Archiwum Narodowe w Krakowie</dc:creator>
  <cp:keywords/>
  <cp:lastModifiedBy>Renata Chlewicka</cp:lastModifiedBy>
  <cp:revision>3</cp:revision>
  <cp:lastPrinted>2022-01-18T11:17:00Z</cp:lastPrinted>
  <dcterms:created xsi:type="dcterms:W3CDTF">2022-11-22T09:26:00Z</dcterms:created>
  <dcterms:modified xsi:type="dcterms:W3CDTF">2022-11-22T09:34:00Z</dcterms:modified>
</cp:coreProperties>
</file>