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BA986" w14:textId="42356036" w:rsidR="00CA5393" w:rsidRPr="00DE27D1" w:rsidRDefault="00CA5393" w:rsidP="00040B57">
      <w:pPr>
        <w:rPr>
          <w:rFonts w:ascii="Palatino Linotype" w:hAnsi="Palatino Linotype"/>
          <w:sz w:val="22"/>
          <w:szCs w:val="22"/>
        </w:rPr>
      </w:pPr>
    </w:p>
    <w:p w14:paraId="7F8715A7" w14:textId="75BEBD97" w:rsidR="000A2A46" w:rsidRPr="00DE27D1" w:rsidRDefault="000A2A46" w:rsidP="00040B57">
      <w:pPr>
        <w:jc w:val="both"/>
        <w:rPr>
          <w:rFonts w:ascii="Palatino Linotype" w:hAnsi="Palatino Linotype"/>
          <w:sz w:val="22"/>
          <w:szCs w:val="22"/>
        </w:rPr>
      </w:pPr>
      <w:r w:rsidRPr="3DFD1CFE">
        <w:rPr>
          <w:rFonts w:ascii="Palatino Linotype" w:hAnsi="Palatino Linotype"/>
          <w:sz w:val="22"/>
          <w:szCs w:val="22"/>
        </w:rPr>
        <w:t>DN.21.1.</w:t>
      </w:r>
      <w:r w:rsidR="00050723" w:rsidRPr="3DFD1CFE">
        <w:rPr>
          <w:rFonts w:ascii="Palatino Linotype" w:hAnsi="Palatino Linotype"/>
          <w:sz w:val="22"/>
          <w:szCs w:val="22"/>
        </w:rPr>
        <w:t>66</w:t>
      </w:r>
      <w:r w:rsidRPr="3DFD1CFE">
        <w:rPr>
          <w:rFonts w:ascii="Palatino Linotype" w:hAnsi="Palatino Linotype"/>
          <w:sz w:val="22"/>
          <w:szCs w:val="22"/>
        </w:rPr>
        <w:t>.201</w:t>
      </w:r>
      <w:r w:rsidR="00050723" w:rsidRPr="3DFD1CFE">
        <w:rPr>
          <w:rFonts w:ascii="Palatino Linotype" w:hAnsi="Palatino Linotype"/>
          <w:sz w:val="22"/>
          <w:szCs w:val="22"/>
        </w:rPr>
        <w:t>4</w:t>
      </w:r>
      <w:r>
        <w:tab/>
      </w:r>
      <w:r>
        <w:tab/>
      </w:r>
      <w:r>
        <w:tab/>
      </w:r>
      <w:r>
        <w:tab/>
      </w:r>
      <w:r>
        <w:tab/>
      </w:r>
      <w:r>
        <w:tab/>
      </w:r>
      <w:r>
        <w:tab/>
      </w:r>
      <w:r w:rsidR="00173242" w:rsidRPr="3DFD1CFE">
        <w:rPr>
          <w:rFonts w:ascii="Palatino Linotype" w:hAnsi="Palatino Linotype"/>
          <w:sz w:val="22"/>
          <w:szCs w:val="22"/>
        </w:rPr>
        <w:t xml:space="preserve">           </w:t>
      </w:r>
      <w:r w:rsidRPr="3DFD1CFE">
        <w:rPr>
          <w:rFonts w:ascii="Palatino Linotype" w:hAnsi="Palatino Linotype"/>
          <w:sz w:val="22"/>
          <w:szCs w:val="22"/>
        </w:rPr>
        <w:t xml:space="preserve">Kraków, </w:t>
      </w:r>
      <w:r w:rsidR="00050723" w:rsidRPr="3DFD1CFE">
        <w:rPr>
          <w:rFonts w:ascii="Palatino Linotype" w:hAnsi="Palatino Linotype"/>
          <w:sz w:val="22"/>
          <w:szCs w:val="22"/>
        </w:rPr>
        <w:t>2</w:t>
      </w:r>
      <w:r w:rsidR="70F786B2" w:rsidRPr="3DFD1CFE">
        <w:rPr>
          <w:rFonts w:ascii="Palatino Linotype" w:hAnsi="Palatino Linotype"/>
          <w:sz w:val="22"/>
          <w:szCs w:val="22"/>
        </w:rPr>
        <w:t>6</w:t>
      </w:r>
      <w:r w:rsidRPr="3DFD1CFE">
        <w:rPr>
          <w:rFonts w:ascii="Palatino Linotype" w:hAnsi="Palatino Linotype"/>
          <w:sz w:val="22"/>
          <w:szCs w:val="22"/>
        </w:rPr>
        <w:t>.0</w:t>
      </w:r>
      <w:r w:rsidR="00050723" w:rsidRPr="3DFD1CFE">
        <w:rPr>
          <w:rFonts w:ascii="Palatino Linotype" w:hAnsi="Palatino Linotype"/>
          <w:sz w:val="22"/>
          <w:szCs w:val="22"/>
        </w:rPr>
        <w:t>4</w:t>
      </w:r>
      <w:r w:rsidRPr="3DFD1CFE">
        <w:rPr>
          <w:rFonts w:ascii="Palatino Linotype" w:hAnsi="Palatino Linotype"/>
          <w:sz w:val="22"/>
          <w:szCs w:val="22"/>
        </w:rPr>
        <w:t>.2021 r.</w:t>
      </w:r>
    </w:p>
    <w:p w14:paraId="7C569FD9" w14:textId="77777777" w:rsidR="000A2A46" w:rsidRPr="00DE27D1" w:rsidRDefault="000A2A46" w:rsidP="00040B57">
      <w:pPr>
        <w:jc w:val="both"/>
        <w:rPr>
          <w:rFonts w:ascii="Palatino Linotype" w:hAnsi="Palatino Linotype"/>
          <w:sz w:val="22"/>
          <w:szCs w:val="22"/>
        </w:rPr>
      </w:pPr>
    </w:p>
    <w:p w14:paraId="223F5586" w14:textId="77777777" w:rsidR="000A2A46" w:rsidRPr="00DE27D1" w:rsidRDefault="000A2A46" w:rsidP="00040B57">
      <w:pPr>
        <w:jc w:val="both"/>
        <w:rPr>
          <w:rFonts w:ascii="Palatino Linotype" w:hAnsi="Palatino Linotype"/>
          <w:sz w:val="22"/>
          <w:szCs w:val="22"/>
        </w:rPr>
      </w:pPr>
    </w:p>
    <w:p w14:paraId="66EF1521" w14:textId="0D0EC120" w:rsidR="000A2A46" w:rsidRPr="00050723" w:rsidRDefault="000A2A46" w:rsidP="00040B57">
      <w:pPr>
        <w:jc w:val="both"/>
        <w:rPr>
          <w:rFonts w:ascii="Palatino Linotype" w:hAnsi="Palatino Linotype"/>
          <w:i/>
          <w:iCs/>
          <w:sz w:val="22"/>
          <w:szCs w:val="22"/>
        </w:rPr>
      </w:pPr>
      <w:r w:rsidRPr="00050723">
        <w:rPr>
          <w:rStyle w:val="Uwydatnienie"/>
          <w:rFonts w:ascii="Palatino Linotype" w:hAnsi="Palatino Linotype" w:cs="Tahoma"/>
          <w:sz w:val="22"/>
          <w:szCs w:val="22"/>
        </w:rPr>
        <w:t xml:space="preserve">Dotyczy: postępowania przetargowego na </w:t>
      </w:r>
      <w:r w:rsidR="00050723" w:rsidRPr="00050723">
        <w:rPr>
          <w:rFonts w:ascii="Palatino Linotype" w:hAnsi="Palatino Linotype" w:cstheme="minorHAnsi"/>
          <w:i/>
          <w:iCs/>
          <w:snapToGrid w:val="0"/>
          <w:sz w:val="22"/>
          <w:szCs w:val="22"/>
        </w:rPr>
        <w:t>dostawę, wdrożenie i uruchomienie infrastruktury IT dla tworzonego zapasowego repozytorium cyfrowego na potrzeby archiwów państwowych</w:t>
      </w:r>
      <w:r w:rsidR="00CF04AF" w:rsidRPr="00050723">
        <w:rPr>
          <w:rFonts w:ascii="Palatino Linotype" w:hAnsi="Palatino Linotype" w:cstheme="minorHAnsi"/>
          <w:i/>
          <w:iCs/>
          <w:snapToGrid w:val="0"/>
          <w:sz w:val="22"/>
          <w:szCs w:val="22"/>
        </w:rPr>
        <w:t>.</w:t>
      </w:r>
    </w:p>
    <w:p w14:paraId="1CDCD2A1" w14:textId="77777777" w:rsidR="009E3F34" w:rsidRPr="00DE27D1" w:rsidRDefault="009E3F34" w:rsidP="00040B57">
      <w:pPr>
        <w:pStyle w:val="Tekstpodstawowywcity"/>
        <w:spacing w:line="240" w:lineRule="auto"/>
        <w:ind w:firstLine="0"/>
        <w:jc w:val="center"/>
        <w:rPr>
          <w:rFonts w:ascii="Palatino Linotype" w:hAnsi="Palatino Linotype"/>
          <w:b/>
          <w:bCs/>
          <w:sz w:val="22"/>
          <w:szCs w:val="22"/>
        </w:rPr>
      </w:pPr>
    </w:p>
    <w:p w14:paraId="6D7BDAB4" w14:textId="77777777" w:rsidR="00611879" w:rsidRPr="00DE27D1" w:rsidRDefault="00611879" w:rsidP="00611879">
      <w:pPr>
        <w:pStyle w:val="NormalnyWeb"/>
        <w:spacing w:before="0" w:beforeAutospacing="0" w:after="0" w:afterAutospacing="0" w:line="276" w:lineRule="auto"/>
        <w:jc w:val="center"/>
        <w:rPr>
          <w:rFonts w:ascii="Palatino Linotype" w:hAnsi="Palatino Linotype"/>
          <w:sz w:val="22"/>
          <w:szCs w:val="22"/>
        </w:rPr>
      </w:pPr>
      <w:r w:rsidRPr="00DE27D1">
        <w:rPr>
          <w:rStyle w:val="Pogrubienie"/>
          <w:rFonts w:ascii="Palatino Linotype" w:eastAsiaTheme="minorHAnsi" w:hAnsi="Palatino Linotype" w:cs="Tahoma"/>
          <w:sz w:val="22"/>
          <w:szCs w:val="22"/>
        </w:rPr>
        <w:t>Z A W I A D O M I E N I E</w:t>
      </w:r>
    </w:p>
    <w:p w14:paraId="438224ED" w14:textId="317C383A" w:rsidR="00611879" w:rsidRPr="00DE27D1" w:rsidRDefault="00611879" w:rsidP="3DFD1CFE">
      <w:pPr>
        <w:pStyle w:val="NormalnyWeb"/>
        <w:spacing w:before="0" w:beforeAutospacing="0" w:after="0" w:afterAutospacing="0" w:line="276" w:lineRule="auto"/>
        <w:jc w:val="center"/>
        <w:rPr>
          <w:rStyle w:val="Pogrubienie"/>
          <w:rFonts w:ascii="Palatino Linotype" w:eastAsiaTheme="minorEastAsia" w:hAnsi="Palatino Linotype" w:cs="Tahoma"/>
          <w:sz w:val="22"/>
          <w:szCs w:val="22"/>
        </w:rPr>
      </w:pPr>
      <w:r w:rsidRPr="3DFD1CFE">
        <w:rPr>
          <w:rStyle w:val="Pogrubienie"/>
          <w:rFonts w:ascii="Palatino Linotype" w:eastAsiaTheme="minorEastAsia" w:hAnsi="Palatino Linotype" w:cs="Tahoma"/>
          <w:sz w:val="22"/>
          <w:szCs w:val="22"/>
        </w:rPr>
        <w:t>o wyjaśnieniu treści SWZ</w:t>
      </w:r>
    </w:p>
    <w:p w14:paraId="72CF638C" w14:textId="77777777" w:rsidR="00611879" w:rsidRPr="00DE27D1" w:rsidRDefault="00611879" w:rsidP="00611879">
      <w:pPr>
        <w:pStyle w:val="NormalnyWeb"/>
        <w:spacing w:before="0" w:beforeAutospacing="0" w:after="0" w:afterAutospacing="0" w:line="276" w:lineRule="auto"/>
        <w:jc w:val="both"/>
        <w:rPr>
          <w:rStyle w:val="Pogrubienie"/>
          <w:rFonts w:ascii="Palatino Linotype" w:eastAsiaTheme="minorHAnsi" w:hAnsi="Palatino Linotype" w:cs="Tahoma"/>
          <w:sz w:val="22"/>
          <w:szCs w:val="22"/>
        </w:rPr>
      </w:pPr>
    </w:p>
    <w:p w14:paraId="192AEEB1" w14:textId="204C4409" w:rsidR="00611879" w:rsidRDefault="00611879" w:rsidP="00611879">
      <w:pPr>
        <w:spacing w:line="276" w:lineRule="auto"/>
        <w:contextualSpacing/>
        <w:jc w:val="both"/>
        <w:rPr>
          <w:rFonts w:ascii="Palatino Linotype" w:hAnsi="Palatino Linotype" w:cs="Tahoma"/>
          <w:sz w:val="22"/>
          <w:szCs w:val="22"/>
        </w:rPr>
      </w:pPr>
      <w:r w:rsidRPr="00DE27D1">
        <w:rPr>
          <w:rFonts w:ascii="Palatino Linotype" w:hAnsi="Palatino Linotype" w:cs="Tahoma"/>
          <w:sz w:val="22"/>
          <w:szCs w:val="22"/>
        </w:rPr>
        <w:t xml:space="preserve">W związku z otrzymaniem pytań dotyczących treści specyfikacji istotnych warunków zamówienia do postępowania przetargowego zgodnie z zapisami art. </w:t>
      </w:r>
      <w:r w:rsidR="00590693">
        <w:rPr>
          <w:rFonts w:ascii="Palatino Linotype" w:hAnsi="Palatino Linotype" w:cs="Tahoma"/>
          <w:sz w:val="22"/>
          <w:szCs w:val="22"/>
        </w:rPr>
        <w:t>135</w:t>
      </w:r>
      <w:r w:rsidRPr="00DE27D1">
        <w:rPr>
          <w:rFonts w:ascii="Palatino Linotype" w:hAnsi="Palatino Linotype" w:cs="Tahoma"/>
          <w:sz w:val="22"/>
          <w:szCs w:val="22"/>
        </w:rPr>
        <w:t xml:space="preserve"> ust. </w:t>
      </w:r>
      <w:r w:rsidR="00590693">
        <w:rPr>
          <w:rFonts w:ascii="Palatino Linotype" w:hAnsi="Palatino Linotype" w:cs="Tahoma"/>
          <w:sz w:val="22"/>
          <w:szCs w:val="22"/>
        </w:rPr>
        <w:t>6</w:t>
      </w:r>
      <w:r w:rsidRPr="00DE27D1">
        <w:rPr>
          <w:rFonts w:ascii="Palatino Linotype" w:hAnsi="Palatino Linotype" w:cs="Tahoma"/>
          <w:sz w:val="22"/>
          <w:szCs w:val="22"/>
        </w:rPr>
        <w:t xml:space="preserve"> </w:t>
      </w:r>
      <w:r w:rsidR="00590693">
        <w:rPr>
          <w:rFonts w:ascii="Palatino Linotype" w:hAnsi="Palatino Linotype" w:cs="Tahoma"/>
          <w:sz w:val="22"/>
          <w:szCs w:val="22"/>
        </w:rPr>
        <w:t>u</w:t>
      </w:r>
      <w:r w:rsidR="00590693" w:rsidRPr="00590693">
        <w:rPr>
          <w:rFonts w:ascii="Palatino Linotype" w:hAnsi="Palatino Linotype" w:cs="Tahoma"/>
          <w:sz w:val="22"/>
          <w:szCs w:val="22"/>
        </w:rPr>
        <w:t>staw</w:t>
      </w:r>
      <w:r w:rsidR="00590693">
        <w:rPr>
          <w:rFonts w:ascii="Palatino Linotype" w:hAnsi="Palatino Linotype" w:cs="Tahoma"/>
          <w:sz w:val="22"/>
          <w:szCs w:val="22"/>
        </w:rPr>
        <w:t>y</w:t>
      </w:r>
      <w:r w:rsidR="00590693" w:rsidRPr="00590693">
        <w:rPr>
          <w:rFonts w:ascii="Palatino Linotype" w:hAnsi="Palatino Linotype" w:cs="Tahoma"/>
          <w:sz w:val="22"/>
          <w:szCs w:val="22"/>
        </w:rPr>
        <w:t xml:space="preserve"> z dnia 11 września 2019 r. Prawo zamówień publicznych (Dz. U. poz. 2019 z </w:t>
      </w:r>
      <w:proofErr w:type="spellStart"/>
      <w:r w:rsidR="00590693" w:rsidRPr="00590693">
        <w:rPr>
          <w:rFonts w:ascii="Palatino Linotype" w:hAnsi="Palatino Linotype" w:cs="Tahoma"/>
          <w:sz w:val="22"/>
          <w:szCs w:val="22"/>
        </w:rPr>
        <w:t>późn</w:t>
      </w:r>
      <w:proofErr w:type="spellEnd"/>
      <w:r w:rsidR="00590693" w:rsidRPr="00590693">
        <w:rPr>
          <w:rFonts w:ascii="Palatino Linotype" w:hAnsi="Palatino Linotype" w:cs="Tahoma"/>
          <w:sz w:val="22"/>
          <w:szCs w:val="22"/>
        </w:rPr>
        <w:t>. zm.)</w:t>
      </w:r>
      <w:r w:rsidRPr="00DE27D1">
        <w:rPr>
          <w:rFonts w:ascii="Palatino Linotype" w:hAnsi="Palatino Linotype" w:cs="Tahoma"/>
          <w:sz w:val="22"/>
          <w:szCs w:val="22"/>
        </w:rPr>
        <w:t xml:space="preserve"> przekazuje ich treść bez ujawniania źródła wraz z odpowiedziami na pytania oraz wyjaśnieniami.</w:t>
      </w:r>
    </w:p>
    <w:p w14:paraId="28DAC398" w14:textId="6B8E6C24" w:rsidR="00590693" w:rsidRDefault="00590693" w:rsidP="00611879">
      <w:pPr>
        <w:spacing w:line="276" w:lineRule="auto"/>
        <w:contextualSpacing/>
        <w:jc w:val="both"/>
        <w:rPr>
          <w:rFonts w:ascii="Palatino Linotype" w:hAnsi="Palatino Linotype" w:cs="Tahoma"/>
          <w:sz w:val="22"/>
          <w:szCs w:val="22"/>
        </w:rPr>
      </w:pPr>
    </w:p>
    <w:p w14:paraId="51D79DAF" w14:textId="618104B6" w:rsidR="00590693" w:rsidRPr="00590693" w:rsidRDefault="00590693" w:rsidP="00590693">
      <w:pPr>
        <w:pStyle w:val="Akapitzlist"/>
        <w:numPr>
          <w:ilvl w:val="0"/>
          <w:numId w:val="35"/>
        </w:numPr>
        <w:spacing w:after="120" w:line="276" w:lineRule="auto"/>
        <w:ind w:left="425" w:hanging="357"/>
        <w:contextualSpacing w:val="0"/>
        <w:jc w:val="both"/>
        <w:rPr>
          <w:rFonts w:ascii="Palatino Linotype" w:hAnsi="Palatino Linotype" w:cs="Tahoma"/>
          <w:b/>
          <w:bCs/>
          <w:sz w:val="22"/>
          <w:szCs w:val="22"/>
        </w:rPr>
      </w:pPr>
      <w:r w:rsidRPr="00590693">
        <w:rPr>
          <w:rFonts w:ascii="Palatino Linotype" w:hAnsi="Palatino Linotype" w:cs="Tahoma"/>
          <w:b/>
          <w:bCs/>
          <w:sz w:val="22"/>
          <w:szCs w:val="22"/>
        </w:rPr>
        <w:t>Pytania z dnia 14.04.2021 r.</w:t>
      </w:r>
      <w:r w:rsidR="00EF409E">
        <w:rPr>
          <w:rFonts w:ascii="Palatino Linotype" w:hAnsi="Palatino Linotype" w:cs="Tahoma"/>
          <w:b/>
          <w:bCs/>
          <w:sz w:val="22"/>
          <w:szCs w:val="22"/>
        </w:rPr>
        <w:t xml:space="preserve"> – pismo 1</w:t>
      </w:r>
      <w:r w:rsidRPr="00590693">
        <w:rPr>
          <w:rFonts w:ascii="Palatino Linotype" w:hAnsi="Palatino Linotype" w:cs="Tahoma"/>
          <w:b/>
          <w:bCs/>
          <w:sz w:val="22"/>
          <w:szCs w:val="22"/>
        </w:rPr>
        <w:t>:</w:t>
      </w:r>
    </w:p>
    <w:p w14:paraId="0F820AF9" w14:textId="77777777" w:rsidR="00590693" w:rsidRDefault="00590693"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590693">
        <w:rPr>
          <w:rFonts w:ascii="Palatino Linotype" w:hAnsi="Palatino Linotype" w:cs="Tahoma"/>
          <w:b/>
          <w:bCs/>
          <w:sz w:val="22"/>
          <w:szCs w:val="22"/>
        </w:rPr>
        <w:t>Pytanie:</w:t>
      </w:r>
    </w:p>
    <w:p w14:paraId="443764D1" w14:textId="77777777" w:rsidR="00162B26" w:rsidRDefault="00590693" w:rsidP="00162B26">
      <w:pPr>
        <w:pStyle w:val="Akapitzlist"/>
        <w:spacing w:after="120" w:line="276" w:lineRule="auto"/>
        <w:ind w:left="851"/>
        <w:contextualSpacing w:val="0"/>
        <w:jc w:val="both"/>
        <w:rPr>
          <w:rFonts w:ascii="Palatino Linotype" w:hAnsi="Palatino Linotype" w:cs="Tahoma"/>
          <w:sz w:val="22"/>
          <w:szCs w:val="22"/>
        </w:rPr>
      </w:pPr>
      <w:r w:rsidRPr="00590693">
        <w:rPr>
          <w:rFonts w:ascii="Palatino Linotype" w:hAnsi="Palatino Linotype" w:cs="Tahoma"/>
          <w:sz w:val="22"/>
          <w:szCs w:val="22"/>
        </w:rPr>
        <w:t>Dotyczy 5.1 Platforma hiperkonwergentna – Bezpieczeństwo – Zamawiający wymaga obsługi dysków SED – które nie są stosowane w rozwiązaniach hiperkonwergentnych. Szyfrowanie odbywa się na poziomie wirtualizatora i jest „przezroczyste” dla dysków. Czy Zamawiający dopuści takie rozwiązanie jako równoważne?</w:t>
      </w:r>
    </w:p>
    <w:p w14:paraId="7F95322E" w14:textId="57E012F4" w:rsidR="00590693" w:rsidRDefault="00162B26" w:rsidP="00590693">
      <w:pPr>
        <w:pStyle w:val="Akapitzlist"/>
        <w:spacing w:after="60" w:line="276" w:lineRule="auto"/>
        <w:ind w:left="851"/>
        <w:jc w:val="both"/>
        <w:rPr>
          <w:rFonts w:ascii="Palatino Linotype" w:hAnsi="Palatino Linotype" w:cs="Tahoma"/>
          <w:b/>
          <w:bCs/>
          <w:sz w:val="22"/>
          <w:szCs w:val="22"/>
        </w:rPr>
      </w:pPr>
      <w:r w:rsidRPr="00162B26">
        <w:rPr>
          <w:rFonts w:ascii="Palatino Linotype" w:hAnsi="Palatino Linotype" w:cs="Tahoma"/>
          <w:b/>
          <w:bCs/>
          <w:sz w:val="22"/>
          <w:szCs w:val="22"/>
        </w:rPr>
        <w:t>Odpowiedź:</w:t>
      </w:r>
    </w:p>
    <w:p w14:paraId="733939CC" w14:textId="5DADD375" w:rsidR="00A56F61" w:rsidRPr="00A56F61" w:rsidRDefault="00A56F61" w:rsidP="00A56F61">
      <w:pPr>
        <w:pStyle w:val="Akapitzlist"/>
        <w:spacing w:after="120" w:line="276" w:lineRule="auto"/>
        <w:ind w:left="851"/>
        <w:contextualSpacing w:val="0"/>
        <w:jc w:val="both"/>
        <w:rPr>
          <w:rFonts w:ascii="Palatino Linotype" w:hAnsi="Palatino Linotype" w:cs="Tahoma"/>
          <w:sz w:val="22"/>
          <w:szCs w:val="22"/>
        </w:rPr>
      </w:pPr>
      <w:r w:rsidRPr="00A56F61">
        <w:rPr>
          <w:rFonts w:ascii="Palatino Linotype" w:hAnsi="Palatino Linotype" w:cs="Tahoma"/>
          <w:sz w:val="22"/>
          <w:szCs w:val="22"/>
        </w:rPr>
        <w:t xml:space="preserve">Zamawiający rezygnuje z wymagania w rozdziale 5.1 Platforma hiperkonwergentna pkt 2 </w:t>
      </w:r>
      <w:proofErr w:type="spellStart"/>
      <w:r w:rsidRPr="00A56F61">
        <w:rPr>
          <w:rFonts w:ascii="Palatino Linotype" w:hAnsi="Palatino Linotype" w:cs="Tahoma"/>
          <w:sz w:val="22"/>
          <w:szCs w:val="22"/>
        </w:rPr>
        <w:t>ppt</w:t>
      </w:r>
      <w:proofErr w:type="spellEnd"/>
      <w:r w:rsidRPr="00A56F61">
        <w:rPr>
          <w:rFonts w:ascii="Palatino Linotype" w:hAnsi="Palatino Linotype" w:cs="Tahoma"/>
          <w:sz w:val="22"/>
          <w:szCs w:val="22"/>
        </w:rPr>
        <w:t xml:space="preserve"> 4 „System musi wspierać</w:t>
      </w:r>
      <w:r w:rsidRPr="00A56F61">
        <w:rPr>
          <w:sz w:val="22"/>
          <w:szCs w:val="22"/>
        </w:rPr>
        <w:t> </w:t>
      </w:r>
      <w:r w:rsidRPr="00A56F61">
        <w:rPr>
          <w:rFonts w:ascii="Palatino Linotype" w:hAnsi="Palatino Linotype" w:cs="Tahoma"/>
          <w:sz w:val="22"/>
          <w:szCs w:val="22"/>
        </w:rPr>
        <w:t>dyski SED” i modyfikuje w tym zakresie zapisy OPZ.</w:t>
      </w:r>
    </w:p>
    <w:p w14:paraId="1BAE74C9" w14:textId="0EC309AE" w:rsidR="00162B26" w:rsidRDefault="00162B26" w:rsidP="00162B26">
      <w:pPr>
        <w:pStyle w:val="Akapitzlist"/>
        <w:spacing w:after="120" w:line="276" w:lineRule="auto"/>
        <w:ind w:left="851"/>
        <w:jc w:val="both"/>
        <w:rPr>
          <w:rFonts w:ascii="Palatino Linotype" w:hAnsi="Palatino Linotype" w:cs="Tahoma"/>
          <w:b/>
          <w:bCs/>
          <w:sz w:val="22"/>
          <w:szCs w:val="22"/>
        </w:rPr>
      </w:pPr>
    </w:p>
    <w:p w14:paraId="6B5716B3" w14:textId="7210797D" w:rsidR="00162B26" w:rsidRDefault="00162B26"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7D11AD76" w14:textId="61B664B4" w:rsidR="00162B26" w:rsidRDefault="00162B26" w:rsidP="00162B26">
      <w:pPr>
        <w:pStyle w:val="Akapitzlist"/>
        <w:spacing w:after="120" w:line="276" w:lineRule="auto"/>
        <w:ind w:left="851"/>
        <w:contextualSpacing w:val="0"/>
        <w:jc w:val="both"/>
        <w:rPr>
          <w:rFonts w:ascii="Palatino Linotype" w:hAnsi="Palatino Linotype" w:cs="Tahoma"/>
          <w:sz w:val="22"/>
          <w:szCs w:val="22"/>
        </w:rPr>
      </w:pPr>
      <w:r w:rsidRPr="00162B26">
        <w:rPr>
          <w:rFonts w:ascii="Palatino Linotype" w:hAnsi="Palatino Linotype" w:cs="Tahoma"/>
          <w:sz w:val="22"/>
          <w:szCs w:val="22"/>
        </w:rPr>
        <w:t>Dotyczy 5.3 System macierzy dyskowych – RAID – Czy zamawiający uzna za równoważną funkcjonalność wirtualizacji RAID jako odpowiadającą DDP/ADAPT?</w:t>
      </w:r>
    </w:p>
    <w:p w14:paraId="2D4248B9" w14:textId="2FAA08EB" w:rsidR="00162B26" w:rsidRDefault="00162B26" w:rsidP="00162B26">
      <w:pPr>
        <w:pStyle w:val="Akapitzlist"/>
        <w:spacing w:after="60" w:line="276" w:lineRule="auto"/>
        <w:ind w:left="851"/>
        <w:jc w:val="both"/>
        <w:rPr>
          <w:rFonts w:ascii="Palatino Linotype" w:hAnsi="Palatino Linotype" w:cs="Tahoma"/>
          <w:b/>
          <w:bCs/>
          <w:sz w:val="22"/>
          <w:szCs w:val="22"/>
        </w:rPr>
      </w:pPr>
      <w:r w:rsidRPr="00162B26">
        <w:rPr>
          <w:rFonts w:ascii="Palatino Linotype" w:hAnsi="Palatino Linotype" w:cs="Tahoma"/>
          <w:b/>
          <w:bCs/>
          <w:sz w:val="22"/>
          <w:szCs w:val="22"/>
        </w:rPr>
        <w:t>Odpowiedź:</w:t>
      </w:r>
    </w:p>
    <w:p w14:paraId="21E5824B" w14:textId="77777777" w:rsidR="00A56F61" w:rsidRPr="00A56F61" w:rsidRDefault="00A56F61" w:rsidP="00A56F61">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 xml:space="preserve">Odbudowa przestrzeni w przypadku awarii musi się odbywać w technologii wiele-do-wiele (przykładowe rozwiązania: </w:t>
      </w:r>
      <w:proofErr w:type="spellStart"/>
      <w:r w:rsidRPr="007833D6">
        <w:rPr>
          <w:rFonts w:ascii="Palatino Linotype" w:hAnsi="Palatino Linotype" w:cs="Tahoma"/>
          <w:sz w:val="22"/>
          <w:szCs w:val="22"/>
        </w:rPr>
        <w:t>Huawei</w:t>
      </w:r>
      <w:proofErr w:type="spellEnd"/>
      <w:r w:rsidRPr="007833D6">
        <w:rPr>
          <w:rFonts w:ascii="Palatino Linotype" w:hAnsi="Palatino Linotype" w:cs="Tahoma"/>
          <w:sz w:val="22"/>
          <w:szCs w:val="22"/>
        </w:rPr>
        <w:t xml:space="preserve"> </w:t>
      </w:r>
      <w:proofErr w:type="spellStart"/>
      <w:r w:rsidRPr="007833D6">
        <w:rPr>
          <w:rFonts w:ascii="Palatino Linotype" w:hAnsi="Palatino Linotype" w:cs="Tahoma"/>
          <w:sz w:val="22"/>
          <w:szCs w:val="22"/>
        </w:rPr>
        <w:t>Raid</w:t>
      </w:r>
      <w:proofErr w:type="spellEnd"/>
      <w:r w:rsidRPr="007833D6">
        <w:rPr>
          <w:rFonts w:ascii="Palatino Linotype" w:hAnsi="Palatino Linotype" w:cs="Tahoma"/>
          <w:sz w:val="22"/>
          <w:szCs w:val="22"/>
        </w:rPr>
        <w:t xml:space="preserve"> 2.0+, </w:t>
      </w:r>
      <w:proofErr w:type="spellStart"/>
      <w:r w:rsidRPr="007833D6">
        <w:rPr>
          <w:rFonts w:ascii="Palatino Linotype" w:hAnsi="Palatino Linotype" w:cs="Tahoma"/>
          <w:sz w:val="22"/>
          <w:szCs w:val="22"/>
        </w:rPr>
        <w:t>Netapp</w:t>
      </w:r>
      <w:proofErr w:type="spellEnd"/>
      <w:r w:rsidRPr="007833D6">
        <w:rPr>
          <w:rFonts w:ascii="Palatino Linotype" w:hAnsi="Palatino Linotype" w:cs="Tahoma"/>
          <w:sz w:val="22"/>
          <w:szCs w:val="22"/>
        </w:rPr>
        <w:t xml:space="preserve"> </w:t>
      </w:r>
      <w:proofErr w:type="spellStart"/>
      <w:r w:rsidRPr="007833D6">
        <w:rPr>
          <w:rFonts w:ascii="Palatino Linotype" w:hAnsi="Palatino Linotype" w:cs="Tahoma"/>
          <w:sz w:val="22"/>
          <w:szCs w:val="22"/>
        </w:rPr>
        <w:t>Dynamic</w:t>
      </w:r>
      <w:proofErr w:type="spellEnd"/>
      <w:r w:rsidRPr="007833D6">
        <w:rPr>
          <w:rFonts w:ascii="Palatino Linotype" w:hAnsi="Palatino Linotype" w:cs="Tahoma"/>
          <w:sz w:val="22"/>
          <w:szCs w:val="22"/>
        </w:rPr>
        <w:t xml:space="preserve"> Disk </w:t>
      </w:r>
      <w:proofErr w:type="spellStart"/>
      <w:r w:rsidRPr="007833D6">
        <w:rPr>
          <w:rFonts w:ascii="Palatino Linotype" w:hAnsi="Palatino Linotype" w:cs="Tahoma"/>
          <w:sz w:val="22"/>
          <w:szCs w:val="22"/>
        </w:rPr>
        <w:t>Pools</w:t>
      </w:r>
      <w:proofErr w:type="spellEnd"/>
      <w:r w:rsidRPr="007833D6">
        <w:rPr>
          <w:rFonts w:ascii="Palatino Linotype" w:hAnsi="Palatino Linotype" w:cs="Tahoma"/>
          <w:sz w:val="22"/>
          <w:szCs w:val="22"/>
        </w:rPr>
        <w:t xml:space="preserve">, Fujitsu DX </w:t>
      </w:r>
      <w:proofErr w:type="spellStart"/>
      <w:r w:rsidRPr="007833D6">
        <w:rPr>
          <w:rFonts w:ascii="Palatino Linotype" w:hAnsi="Palatino Linotype" w:cs="Tahoma"/>
          <w:sz w:val="22"/>
          <w:szCs w:val="22"/>
        </w:rPr>
        <w:t>FastRebuild</w:t>
      </w:r>
      <w:proofErr w:type="spellEnd"/>
      <w:r w:rsidRPr="007833D6">
        <w:rPr>
          <w:rFonts w:ascii="Palatino Linotype" w:hAnsi="Palatino Linotype" w:cs="Tahoma"/>
          <w:sz w:val="22"/>
          <w:szCs w:val="22"/>
        </w:rPr>
        <w:t xml:space="preserve">, IBM Distributed RAID, Dell </w:t>
      </w:r>
      <w:proofErr w:type="spellStart"/>
      <w:r w:rsidRPr="007833D6">
        <w:rPr>
          <w:rFonts w:ascii="Palatino Linotype" w:hAnsi="Palatino Linotype" w:cs="Tahoma"/>
          <w:sz w:val="22"/>
          <w:szCs w:val="22"/>
        </w:rPr>
        <w:t>Dynamic</w:t>
      </w:r>
      <w:proofErr w:type="spellEnd"/>
      <w:r w:rsidRPr="007833D6">
        <w:rPr>
          <w:rFonts w:ascii="Palatino Linotype" w:hAnsi="Palatino Linotype" w:cs="Tahoma"/>
          <w:sz w:val="22"/>
          <w:szCs w:val="22"/>
        </w:rPr>
        <w:t xml:space="preserve"> Disk </w:t>
      </w:r>
      <w:proofErr w:type="spellStart"/>
      <w:r w:rsidRPr="007833D6">
        <w:rPr>
          <w:rFonts w:ascii="Palatino Linotype" w:hAnsi="Palatino Linotype" w:cs="Tahoma"/>
          <w:sz w:val="22"/>
          <w:szCs w:val="22"/>
        </w:rPr>
        <w:t>Pools</w:t>
      </w:r>
      <w:proofErr w:type="spellEnd"/>
      <w:r w:rsidRPr="007833D6">
        <w:rPr>
          <w:rFonts w:ascii="Palatino Linotype" w:hAnsi="Palatino Linotype" w:cs="Tahoma"/>
          <w:sz w:val="22"/>
          <w:szCs w:val="22"/>
        </w:rPr>
        <w:t>) lub innej równoważnej umożliwiającej odbudowę przestrzeni po awarii jednego dysku w czasie krótszym niż 48h dla dysku zapełnionego powyżej 95%. </w:t>
      </w:r>
    </w:p>
    <w:p w14:paraId="2924F76A" w14:textId="0A346165" w:rsidR="00162B26" w:rsidRDefault="00162B26" w:rsidP="00162B26">
      <w:pPr>
        <w:pStyle w:val="Akapitzlist"/>
        <w:spacing w:after="60" w:line="276" w:lineRule="auto"/>
        <w:ind w:left="851"/>
        <w:jc w:val="both"/>
        <w:rPr>
          <w:rFonts w:ascii="Palatino Linotype" w:hAnsi="Palatino Linotype" w:cs="Tahoma"/>
          <w:b/>
          <w:bCs/>
          <w:sz w:val="22"/>
          <w:szCs w:val="22"/>
        </w:rPr>
      </w:pPr>
    </w:p>
    <w:p w14:paraId="168928E6" w14:textId="335EF397" w:rsidR="00162B26" w:rsidRDefault="00162B26"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lastRenderedPageBreak/>
        <w:t>Pytanie:</w:t>
      </w:r>
    </w:p>
    <w:p w14:paraId="5CB3C31E" w14:textId="61FFCF41" w:rsidR="00162B26" w:rsidRDefault="00162B26" w:rsidP="00162B26">
      <w:pPr>
        <w:pStyle w:val="Akapitzlist"/>
        <w:spacing w:after="120" w:line="276" w:lineRule="auto"/>
        <w:ind w:left="851"/>
        <w:contextualSpacing w:val="0"/>
        <w:jc w:val="both"/>
        <w:rPr>
          <w:rFonts w:ascii="Palatino Linotype" w:hAnsi="Palatino Linotype" w:cs="Tahoma"/>
          <w:sz w:val="22"/>
          <w:szCs w:val="22"/>
        </w:rPr>
      </w:pPr>
      <w:r w:rsidRPr="00162B26">
        <w:rPr>
          <w:rFonts w:ascii="Palatino Linotype" w:hAnsi="Palatino Linotype" w:cs="Tahoma"/>
          <w:sz w:val="22"/>
          <w:szCs w:val="22"/>
        </w:rPr>
        <w:t>Termin związania ofertą w SWZ został podany jako 5.07.2021 r. Proszę o podanie na jakiej postawie został on tak wyliczony?</w:t>
      </w:r>
    </w:p>
    <w:p w14:paraId="2DBECA27" w14:textId="619F2CD8" w:rsidR="00A77D94" w:rsidRPr="0003655A" w:rsidRDefault="00A77D94" w:rsidP="0003655A">
      <w:pPr>
        <w:pStyle w:val="Akapitzlist"/>
        <w:spacing w:after="120" w:line="276" w:lineRule="auto"/>
        <w:ind w:left="851"/>
        <w:jc w:val="both"/>
        <w:rPr>
          <w:rFonts w:ascii="Palatino Linotype" w:hAnsi="Palatino Linotype" w:cs="Tahoma"/>
          <w:sz w:val="22"/>
          <w:szCs w:val="22"/>
        </w:rPr>
      </w:pPr>
      <w:r w:rsidRPr="0003655A">
        <w:rPr>
          <w:rFonts w:ascii="Palatino Linotype" w:hAnsi="Palatino Linotype" w:cs="Tahoma"/>
          <w:b/>
          <w:bCs/>
          <w:sz w:val="22"/>
          <w:szCs w:val="22"/>
        </w:rPr>
        <w:t>Odpowiedź</w:t>
      </w:r>
      <w:r w:rsidRPr="0003655A">
        <w:rPr>
          <w:rFonts w:ascii="Palatino Linotype" w:hAnsi="Palatino Linotype" w:cs="Tahoma"/>
          <w:sz w:val="22"/>
          <w:szCs w:val="22"/>
        </w:rPr>
        <w:t>:</w:t>
      </w:r>
    </w:p>
    <w:p w14:paraId="3288567A" w14:textId="79D5338A" w:rsidR="00A77D94" w:rsidRDefault="703574E2">
      <w:pPr>
        <w:pStyle w:val="Akapitzlist"/>
        <w:spacing w:after="120" w:line="276" w:lineRule="auto"/>
        <w:ind w:left="851"/>
        <w:contextualSpacing w:val="0"/>
        <w:jc w:val="both"/>
        <w:rPr>
          <w:rFonts w:ascii="Palatino Linotype" w:eastAsia="Palatino Linotype" w:hAnsi="Palatino Linotype" w:cs="Palatino Linotype"/>
          <w:sz w:val="22"/>
          <w:szCs w:val="22"/>
        </w:rPr>
      </w:pPr>
      <w:r w:rsidRPr="3DFD1CFE">
        <w:rPr>
          <w:rFonts w:ascii="Palatino Linotype" w:eastAsia="Palatino Linotype" w:hAnsi="Palatino Linotype" w:cs="Palatino Linotype"/>
          <w:sz w:val="22"/>
          <w:szCs w:val="22"/>
        </w:rPr>
        <w:t>Zamawiający w dniu 20.04.2021 r. opublikował modyfikację SWZ w tym zakresie i wydłużył termin związania ofertą do dnia 02.08.</w:t>
      </w:r>
      <w:r w:rsidRPr="0003655A">
        <w:rPr>
          <w:rFonts w:ascii="Palatino Linotype" w:hAnsi="Palatino Linotype" w:cs="Tahoma"/>
          <w:sz w:val="22"/>
          <w:szCs w:val="22"/>
        </w:rPr>
        <w:t>2021</w:t>
      </w:r>
      <w:r w:rsidRPr="3DFD1CFE">
        <w:rPr>
          <w:rFonts w:ascii="Palatino Linotype" w:eastAsia="Palatino Linotype" w:hAnsi="Palatino Linotype" w:cs="Palatino Linotype"/>
          <w:sz w:val="22"/>
          <w:szCs w:val="22"/>
        </w:rPr>
        <w:t xml:space="preserve"> r.</w:t>
      </w:r>
    </w:p>
    <w:p w14:paraId="249B03EB" w14:textId="77777777" w:rsidR="008D1621" w:rsidRDefault="008D1621">
      <w:pPr>
        <w:pStyle w:val="Akapitzlist"/>
        <w:spacing w:after="120" w:line="276" w:lineRule="auto"/>
        <w:ind w:left="851"/>
        <w:contextualSpacing w:val="0"/>
        <w:jc w:val="both"/>
        <w:rPr>
          <w:rFonts w:ascii="Palatino Linotype" w:eastAsia="Palatino Linotype" w:hAnsi="Palatino Linotype" w:cs="Palatino Linotype"/>
          <w:sz w:val="22"/>
          <w:szCs w:val="22"/>
        </w:rPr>
      </w:pPr>
    </w:p>
    <w:p w14:paraId="79958341" w14:textId="625FA8D3" w:rsidR="00EF409E" w:rsidRPr="00EF409E" w:rsidRDefault="00EF409E" w:rsidP="00EF409E">
      <w:pPr>
        <w:pStyle w:val="Akapitzlist"/>
        <w:numPr>
          <w:ilvl w:val="0"/>
          <w:numId w:val="35"/>
        </w:numPr>
        <w:spacing w:after="120" w:line="276" w:lineRule="auto"/>
        <w:ind w:left="425" w:hanging="357"/>
        <w:contextualSpacing w:val="0"/>
        <w:jc w:val="both"/>
        <w:rPr>
          <w:rFonts w:ascii="Palatino Linotype" w:hAnsi="Palatino Linotype" w:cs="Tahoma"/>
          <w:sz w:val="22"/>
          <w:szCs w:val="22"/>
        </w:rPr>
      </w:pPr>
      <w:r w:rsidRPr="00EF409E">
        <w:rPr>
          <w:rFonts w:ascii="Palatino Linotype" w:hAnsi="Palatino Linotype" w:cs="Tahoma"/>
          <w:b/>
          <w:bCs/>
          <w:sz w:val="22"/>
          <w:szCs w:val="22"/>
        </w:rPr>
        <w:t>Pytani</w:t>
      </w:r>
      <w:r>
        <w:rPr>
          <w:rFonts w:ascii="Palatino Linotype" w:hAnsi="Palatino Linotype" w:cs="Tahoma"/>
          <w:b/>
          <w:bCs/>
          <w:sz w:val="22"/>
          <w:szCs w:val="22"/>
        </w:rPr>
        <w:t>a z dnia 14.04.2021 r. – pismo 2:</w:t>
      </w:r>
    </w:p>
    <w:p w14:paraId="0ADC9CBE" w14:textId="7A192C8A" w:rsidR="00EF409E" w:rsidRPr="00EF409E" w:rsidRDefault="00EF409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EF409E">
        <w:rPr>
          <w:rFonts w:ascii="Palatino Linotype" w:hAnsi="Palatino Linotype" w:cs="Tahoma"/>
          <w:b/>
          <w:bCs/>
          <w:sz w:val="22"/>
          <w:szCs w:val="22"/>
        </w:rPr>
        <w:t>Pytanie:</w:t>
      </w:r>
    </w:p>
    <w:p w14:paraId="32CEB26E" w14:textId="6B5CA413" w:rsidR="00EF409E" w:rsidRDefault="00EF409E" w:rsidP="00EF409E">
      <w:pPr>
        <w:pStyle w:val="Akapitzlist"/>
        <w:spacing w:after="60" w:line="276" w:lineRule="auto"/>
        <w:ind w:left="851"/>
        <w:contextualSpacing w:val="0"/>
        <w:jc w:val="both"/>
        <w:rPr>
          <w:rFonts w:ascii="Palatino Linotype" w:hAnsi="Palatino Linotype" w:cs="Tahoma"/>
          <w:sz w:val="22"/>
          <w:szCs w:val="22"/>
        </w:rPr>
      </w:pPr>
      <w:r w:rsidRPr="00EF409E">
        <w:rPr>
          <w:rFonts w:ascii="Palatino Linotype" w:hAnsi="Palatino Linotype" w:cs="Tahoma"/>
          <w:sz w:val="22"/>
          <w:szCs w:val="22"/>
        </w:rPr>
        <w:t>Dotyczy punktu 5.3 system macierzy dyskowych w Projekcie technicznym wraz z opisem przedmiotu zamówienia - punkt 6 tabeli: Kontroler „Dwa kontrolery wyposażone w przynajmniej 64GB cache każdy.”</w:t>
      </w:r>
    </w:p>
    <w:p w14:paraId="5C0F55A7" w14:textId="36413356" w:rsidR="00EF409E" w:rsidRDefault="00EF409E" w:rsidP="00E10F3D">
      <w:pPr>
        <w:pStyle w:val="Akapitzlist"/>
        <w:spacing w:after="120" w:line="276" w:lineRule="auto"/>
        <w:ind w:left="851"/>
        <w:contextualSpacing w:val="0"/>
        <w:jc w:val="both"/>
        <w:rPr>
          <w:rFonts w:ascii="Palatino Linotype" w:hAnsi="Palatino Linotype" w:cs="Tahoma"/>
          <w:sz w:val="22"/>
          <w:szCs w:val="22"/>
        </w:rPr>
      </w:pPr>
      <w:r w:rsidRPr="00EF409E">
        <w:rPr>
          <w:rFonts w:ascii="Palatino Linotype" w:hAnsi="Palatino Linotype" w:cs="Tahoma"/>
          <w:sz w:val="22"/>
          <w:szCs w:val="22"/>
        </w:rPr>
        <w:t>Proszę o dopuszczenie dostarczenia rozwiązania z dwoma kontrolerami z przynajmniej 64GB cache, z możliwością rozbudowy pamięci cache do 128GB w ramach klastra macierzy zarządzanego z jednego interfejsu GUI, CLI</w:t>
      </w:r>
      <w:r w:rsidR="00E10F3D">
        <w:rPr>
          <w:rFonts w:ascii="Palatino Linotype" w:hAnsi="Palatino Linotype" w:cs="Tahoma"/>
          <w:sz w:val="22"/>
          <w:szCs w:val="22"/>
        </w:rPr>
        <w:t>.</w:t>
      </w:r>
    </w:p>
    <w:p w14:paraId="7E5B3577" w14:textId="14423CA6" w:rsidR="00E10F3D" w:rsidRDefault="00E10F3D" w:rsidP="00EF409E">
      <w:pPr>
        <w:pStyle w:val="Akapitzlist"/>
        <w:spacing w:after="60" w:line="276" w:lineRule="auto"/>
        <w:ind w:left="851"/>
        <w:jc w:val="both"/>
        <w:rPr>
          <w:rFonts w:ascii="Palatino Linotype" w:hAnsi="Palatino Linotype" w:cs="Tahoma"/>
          <w:sz w:val="22"/>
          <w:szCs w:val="22"/>
        </w:rPr>
      </w:pPr>
      <w:r w:rsidRPr="00E10F3D">
        <w:rPr>
          <w:rFonts w:ascii="Palatino Linotype" w:hAnsi="Palatino Linotype" w:cs="Tahoma"/>
          <w:b/>
          <w:bCs/>
          <w:sz w:val="22"/>
          <w:szCs w:val="22"/>
        </w:rPr>
        <w:t>Odpowiedź</w:t>
      </w:r>
      <w:r>
        <w:rPr>
          <w:rFonts w:ascii="Palatino Linotype" w:hAnsi="Palatino Linotype" w:cs="Tahoma"/>
          <w:sz w:val="22"/>
          <w:szCs w:val="22"/>
        </w:rPr>
        <w:t>:</w:t>
      </w:r>
    </w:p>
    <w:p w14:paraId="1C2C23A7" w14:textId="2E0DB558"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dopuszcza takie rozwiązanie.</w:t>
      </w:r>
    </w:p>
    <w:p w14:paraId="4C1D59C7" w14:textId="1D09FBB4" w:rsidR="00E10F3D" w:rsidRDefault="00E10F3D" w:rsidP="00EF409E">
      <w:pPr>
        <w:pStyle w:val="Akapitzlist"/>
        <w:spacing w:after="60" w:line="276" w:lineRule="auto"/>
        <w:ind w:left="851"/>
        <w:jc w:val="both"/>
        <w:rPr>
          <w:rFonts w:ascii="Palatino Linotype" w:hAnsi="Palatino Linotype" w:cs="Tahoma"/>
          <w:sz w:val="22"/>
          <w:szCs w:val="22"/>
        </w:rPr>
      </w:pPr>
    </w:p>
    <w:p w14:paraId="2309E070" w14:textId="3FF75D83" w:rsidR="00E10F3D" w:rsidRDefault="00E10F3D"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E10F3D">
        <w:rPr>
          <w:rFonts w:ascii="Palatino Linotype" w:hAnsi="Palatino Linotype" w:cs="Tahoma"/>
          <w:b/>
          <w:bCs/>
          <w:sz w:val="22"/>
          <w:szCs w:val="22"/>
        </w:rPr>
        <w:t>Pytanie:</w:t>
      </w:r>
    </w:p>
    <w:p w14:paraId="423D0434" w14:textId="251AAE35" w:rsidR="00E10F3D" w:rsidRDefault="00E10F3D" w:rsidP="00E10F3D">
      <w:pPr>
        <w:pStyle w:val="Akapitzlist"/>
        <w:spacing w:after="60" w:line="276" w:lineRule="auto"/>
        <w:ind w:left="851"/>
        <w:jc w:val="both"/>
        <w:rPr>
          <w:rFonts w:ascii="Palatino Linotype" w:hAnsi="Palatino Linotype" w:cs="Tahoma"/>
          <w:sz w:val="22"/>
          <w:szCs w:val="22"/>
        </w:rPr>
      </w:pPr>
      <w:r w:rsidRPr="00E10F3D">
        <w:rPr>
          <w:rFonts w:ascii="Palatino Linotype" w:hAnsi="Palatino Linotype" w:cs="Tahoma"/>
          <w:sz w:val="22"/>
          <w:szCs w:val="22"/>
        </w:rPr>
        <w:t>Dotyczy punktu 5.3 system macierzy dyskowych w Projekcie technicznym wraz z opisem przedmiotu zamówienia - punkt 10 tabeli: Wydajność „Kontrolery macierzy musza umożliwiać przepustowość na poziomie 7GB/s, 320k IOPS. Zamawiający wymaga dostarczenia niezależnego testu potwierdzającego, że dany model macierzy osiągnie ten poziom wydajności przy zapisie min. 30%.”</w:t>
      </w:r>
      <w:r>
        <w:rPr>
          <w:rFonts w:ascii="Palatino Linotype" w:hAnsi="Palatino Linotype" w:cs="Tahoma"/>
          <w:sz w:val="22"/>
          <w:szCs w:val="22"/>
        </w:rPr>
        <w:t>.</w:t>
      </w:r>
    </w:p>
    <w:p w14:paraId="0FCB4F86" w14:textId="2D7F2F06" w:rsidR="00E10F3D" w:rsidRDefault="00E10F3D" w:rsidP="00E10F3D">
      <w:pPr>
        <w:pStyle w:val="Akapitzlist"/>
        <w:spacing w:after="120" w:line="276" w:lineRule="auto"/>
        <w:ind w:left="851"/>
        <w:contextualSpacing w:val="0"/>
        <w:jc w:val="both"/>
        <w:rPr>
          <w:rFonts w:ascii="Palatino Linotype" w:hAnsi="Palatino Linotype" w:cs="Tahoma"/>
          <w:sz w:val="22"/>
          <w:szCs w:val="22"/>
        </w:rPr>
      </w:pPr>
      <w:r w:rsidRPr="00E10F3D">
        <w:rPr>
          <w:rFonts w:ascii="Palatino Linotype" w:hAnsi="Palatino Linotype" w:cs="Tahoma"/>
          <w:sz w:val="22"/>
          <w:szCs w:val="22"/>
        </w:rPr>
        <w:t>Czy w ramach wymagania „dostarczenia niezależnego testu potwierdzającego, że dany model macierzy osiągnie wymagany poziom wydajności przy zapisie min. 30%”, Zamawiający dopuści dostarczenie oświadczenia producenta dostarczonej macierzy potwierdzającego wymaganą wydajność? W innym przypadku proszę o informacje co Zamawiający rozumie pod pojęciem „niezależnego testu”?</w:t>
      </w:r>
    </w:p>
    <w:p w14:paraId="033BB92C" w14:textId="09073924" w:rsidR="00E10F3D" w:rsidRDefault="00E10F3D" w:rsidP="00E10F3D">
      <w:pPr>
        <w:pStyle w:val="Akapitzlist"/>
        <w:spacing w:after="60" w:line="276" w:lineRule="auto"/>
        <w:ind w:left="851"/>
        <w:contextualSpacing w:val="0"/>
        <w:jc w:val="both"/>
        <w:rPr>
          <w:rFonts w:ascii="Palatino Linotype" w:hAnsi="Palatino Linotype" w:cs="Tahoma"/>
          <w:b/>
          <w:bCs/>
          <w:sz w:val="22"/>
          <w:szCs w:val="22"/>
        </w:rPr>
      </w:pPr>
      <w:r w:rsidRPr="00E10F3D">
        <w:rPr>
          <w:rFonts w:ascii="Palatino Linotype" w:hAnsi="Palatino Linotype" w:cs="Tahoma"/>
          <w:b/>
          <w:bCs/>
          <w:sz w:val="22"/>
          <w:szCs w:val="22"/>
        </w:rPr>
        <w:t>Odpowiedź:</w:t>
      </w:r>
    </w:p>
    <w:p w14:paraId="5D49F76E" w14:textId="2402B9E0"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dopuści dostarczenie oświadczenia producenta dostarczanej macierzy potwierdzające wymaganą wydajnością oraz modyfikuje OPZ rozdział 5.3 System macierzy dyskowych punkt 10 w tym zakresie.</w:t>
      </w:r>
    </w:p>
    <w:p w14:paraId="7527CD8D" w14:textId="13059243" w:rsidR="00E10F3D" w:rsidRDefault="00E10F3D" w:rsidP="007833D6">
      <w:pPr>
        <w:pStyle w:val="Akapitzlist"/>
        <w:spacing w:after="120" w:line="276" w:lineRule="auto"/>
        <w:ind w:left="851"/>
        <w:contextualSpacing w:val="0"/>
        <w:jc w:val="both"/>
        <w:rPr>
          <w:rFonts w:ascii="Palatino Linotype" w:hAnsi="Palatino Linotype" w:cs="Tahoma"/>
          <w:sz w:val="22"/>
          <w:szCs w:val="22"/>
        </w:rPr>
      </w:pPr>
    </w:p>
    <w:p w14:paraId="57C8C784" w14:textId="2B24F23E" w:rsidR="00E10F3D" w:rsidRDefault="00E10F3D"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E10F3D">
        <w:rPr>
          <w:rFonts w:ascii="Palatino Linotype" w:hAnsi="Palatino Linotype" w:cs="Tahoma"/>
          <w:b/>
          <w:bCs/>
          <w:sz w:val="22"/>
          <w:szCs w:val="22"/>
        </w:rPr>
        <w:t>Pytanie:</w:t>
      </w:r>
    </w:p>
    <w:p w14:paraId="385FAEC9" w14:textId="77777777" w:rsidR="00E10F3D" w:rsidRPr="00E10F3D" w:rsidRDefault="00E10F3D" w:rsidP="00E10F3D">
      <w:pPr>
        <w:pStyle w:val="Akapitzlist"/>
        <w:spacing w:after="60" w:line="276" w:lineRule="auto"/>
        <w:ind w:left="851"/>
        <w:jc w:val="both"/>
        <w:rPr>
          <w:rFonts w:ascii="Palatino Linotype" w:hAnsi="Palatino Linotype" w:cs="Tahoma"/>
          <w:sz w:val="22"/>
          <w:szCs w:val="22"/>
        </w:rPr>
      </w:pPr>
      <w:r w:rsidRPr="00E10F3D">
        <w:rPr>
          <w:rFonts w:ascii="Palatino Linotype" w:hAnsi="Palatino Linotype" w:cs="Tahoma"/>
          <w:sz w:val="22"/>
          <w:szCs w:val="22"/>
        </w:rPr>
        <w:t>Dotyczy punktu „5.3 System macierzy dyskowych”.</w:t>
      </w:r>
    </w:p>
    <w:p w14:paraId="49C12D5C" w14:textId="77777777" w:rsidR="00E10F3D" w:rsidRPr="00E10F3D" w:rsidRDefault="00E10F3D" w:rsidP="00E10F3D">
      <w:pPr>
        <w:pStyle w:val="Akapitzlist"/>
        <w:spacing w:after="60" w:line="276" w:lineRule="auto"/>
        <w:ind w:left="851"/>
        <w:jc w:val="both"/>
        <w:rPr>
          <w:rFonts w:ascii="Palatino Linotype" w:hAnsi="Palatino Linotype" w:cs="Tahoma"/>
          <w:sz w:val="22"/>
          <w:szCs w:val="22"/>
        </w:rPr>
      </w:pPr>
      <w:r w:rsidRPr="00E10F3D">
        <w:rPr>
          <w:rFonts w:ascii="Palatino Linotype" w:hAnsi="Palatino Linotype" w:cs="Tahoma"/>
          <w:sz w:val="22"/>
          <w:szCs w:val="22"/>
        </w:rPr>
        <w:lastRenderedPageBreak/>
        <w:t>Zamawiający w tabeli w punkcie 10 specyfikuje: „Kontrolery macierzy musza umożliwiać przepustowość na poziomie 7GB/s, 320k IOPS. Zamawiający wymaga dostarczenia niezależnego testu potwierdzającego, że dany model macierzy osiągnie ten poziom wydajności przy zapisie min. 30%. Kontrolery muszą działać w trybie min. asymetryczny aktywny/aktywny (ALUA).”</w:t>
      </w:r>
    </w:p>
    <w:p w14:paraId="12F6022F" w14:textId="77777777" w:rsidR="00E10F3D" w:rsidRPr="00E10F3D" w:rsidRDefault="00E10F3D" w:rsidP="00E10F3D">
      <w:pPr>
        <w:pStyle w:val="Akapitzlist"/>
        <w:spacing w:after="60" w:line="276" w:lineRule="auto"/>
        <w:ind w:left="851"/>
        <w:jc w:val="both"/>
        <w:rPr>
          <w:rFonts w:ascii="Palatino Linotype" w:hAnsi="Palatino Linotype" w:cs="Tahoma"/>
          <w:sz w:val="22"/>
          <w:szCs w:val="22"/>
        </w:rPr>
      </w:pPr>
      <w:r w:rsidRPr="00E10F3D">
        <w:rPr>
          <w:rFonts w:ascii="Palatino Linotype" w:hAnsi="Palatino Linotype" w:cs="Tahoma"/>
          <w:sz w:val="22"/>
          <w:szCs w:val="22"/>
        </w:rPr>
        <w:t>Zamawiający w tej samej tabeli specyfikuje w punkcie 5 pojemność, po przez 168 dysków w technologii NL-SAS. Dodatkowo wymagana jest możliwość rozbudowy o dyski o prędkości maksymalnie 10k SAS. Pragniemy podkreślić, iż wymaganie dostarczenia kontrolerów z tak wyśrubowanymi parametrami wydajnościowymi, w zestawieniu do wymaganej w ofercie konfiguracji z najwolniejszymi na rynku dyskami nie ma uzasadnienia.</w:t>
      </w:r>
    </w:p>
    <w:p w14:paraId="436E02C0" w14:textId="60ECC1D7" w:rsidR="00E10F3D" w:rsidRDefault="00E10F3D" w:rsidP="00057BA8">
      <w:pPr>
        <w:pStyle w:val="Akapitzlist"/>
        <w:spacing w:after="120" w:line="276" w:lineRule="auto"/>
        <w:ind w:left="851"/>
        <w:contextualSpacing w:val="0"/>
        <w:jc w:val="both"/>
        <w:rPr>
          <w:rFonts w:ascii="Palatino Linotype" w:hAnsi="Palatino Linotype" w:cs="Tahoma"/>
          <w:sz w:val="22"/>
          <w:szCs w:val="22"/>
        </w:rPr>
      </w:pPr>
      <w:r w:rsidRPr="00E10F3D">
        <w:rPr>
          <w:rFonts w:ascii="Palatino Linotype" w:hAnsi="Palatino Linotype" w:cs="Tahoma"/>
          <w:sz w:val="22"/>
          <w:szCs w:val="22"/>
        </w:rPr>
        <w:t>Czy Zamawiający dopuści macierz, która w niezależnych testach osiąga przepustowość 7GB/s lub 320k IOPS? Podkreślamy, iż jednoczesne osiągnięcie obu parametrów w jednym teście spowoduje konieczność zaoferowania urządzenia klasy Enterprise, co jest kosztowo nieuzasadnione.</w:t>
      </w:r>
    </w:p>
    <w:p w14:paraId="75D540ED" w14:textId="214EFB5E" w:rsidR="00E10F3D" w:rsidRDefault="00E10F3D" w:rsidP="00E10F3D">
      <w:pPr>
        <w:pStyle w:val="Akapitzlist"/>
        <w:spacing w:after="60" w:line="276" w:lineRule="auto"/>
        <w:ind w:left="851"/>
        <w:contextualSpacing w:val="0"/>
        <w:jc w:val="both"/>
        <w:rPr>
          <w:rFonts w:ascii="Palatino Linotype" w:hAnsi="Palatino Linotype" w:cs="Tahoma"/>
          <w:b/>
          <w:bCs/>
          <w:sz w:val="22"/>
          <w:szCs w:val="22"/>
        </w:rPr>
      </w:pPr>
      <w:r w:rsidRPr="00E10F3D">
        <w:rPr>
          <w:rFonts w:ascii="Palatino Linotype" w:hAnsi="Palatino Linotype" w:cs="Tahoma"/>
          <w:b/>
          <w:bCs/>
          <w:sz w:val="22"/>
          <w:szCs w:val="22"/>
        </w:rPr>
        <w:t>Odpowiedź:</w:t>
      </w:r>
    </w:p>
    <w:p w14:paraId="2B1731DF" w14:textId="7DA48B03"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nigdzie nie specyfikuje, że wymagane parametry ( przepustowość i ilość wykonywanych operacji/s) mają być osiągnięte w ramach jednego testu. Nie mniej jednak Zamawiający oczekuje zaoferowania macierzy osiągającej wymagane parametry.</w:t>
      </w:r>
    </w:p>
    <w:p w14:paraId="6E0E03A3" w14:textId="77777777" w:rsidR="00057BA8" w:rsidRDefault="00057BA8" w:rsidP="00E10F3D">
      <w:pPr>
        <w:pStyle w:val="Akapitzlist"/>
        <w:spacing w:after="60" w:line="276" w:lineRule="auto"/>
        <w:ind w:left="851"/>
        <w:contextualSpacing w:val="0"/>
        <w:jc w:val="both"/>
        <w:rPr>
          <w:rFonts w:ascii="Palatino Linotype" w:hAnsi="Palatino Linotype" w:cs="Tahoma"/>
          <w:b/>
          <w:bCs/>
          <w:sz w:val="22"/>
          <w:szCs w:val="22"/>
        </w:rPr>
      </w:pPr>
    </w:p>
    <w:p w14:paraId="6992CBC8" w14:textId="4B2FAB84" w:rsidR="00057BA8" w:rsidRDefault="002E1EF8"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3A19622B" w14:textId="77777777" w:rsidR="002E1EF8" w:rsidRPr="002E1EF8" w:rsidRDefault="002E1EF8" w:rsidP="002E1EF8">
      <w:pPr>
        <w:pStyle w:val="Akapitzlist"/>
        <w:spacing w:after="60" w:line="276" w:lineRule="auto"/>
        <w:ind w:left="851"/>
        <w:jc w:val="both"/>
        <w:rPr>
          <w:rFonts w:ascii="Palatino Linotype" w:hAnsi="Palatino Linotype" w:cs="Tahoma"/>
          <w:sz w:val="22"/>
          <w:szCs w:val="22"/>
        </w:rPr>
      </w:pPr>
      <w:r w:rsidRPr="002E1EF8">
        <w:rPr>
          <w:rFonts w:ascii="Palatino Linotype" w:hAnsi="Palatino Linotype" w:cs="Tahoma"/>
          <w:sz w:val="22"/>
          <w:szCs w:val="22"/>
        </w:rPr>
        <w:t xml:space="preserve">Dotyczy 16.4 OPIS KRYTERIÓW OCENY OFERT WRAZ Z PODANIEM WAG TYCH KRYTERIÓW I SPOSOBU OCENY OFERT SIWZ, punkt tabeli: „Obsługa protokołów S3, CIFS i NFS w formie natywnej lub w formie Software </w:t>
      </w:r>
      <w:proofErr w:type="spellStart"/>
      <w:r w:rsidRPr="002E1EF8">
        <w:rPr>
          <w:rFonts w:ascii="Palatino Linotype" w:hAnsi="Palatino Linotype" w:cs="Tahoma"/>
          <w:sz w:val="22"/>
          <w:szCs w:val="22"/>
        </w:rPr>
        <w:t>Define</w:t>
      </w:r>
      <w:proofErr w:type="spellEnd"/>
      <w:r w:rsidRPr="002E1EF8">
        <w:rPr>
          <w:rFonts w:ascii="Palatino Linotype" w:hAnsi="Palatino Linotype" w:cs="Tahoma"/>
          <w:sz w:val="22"/>
          <w:szCs w:val="22"/>
        </w:rPr>
        <w:t xml:space="preserve"> Storage.”</w:t>
      </w:r>
    </w:p>
    <w:p w14:paraId="7ED3B300" w14:textId="3D0B3244" w:rsidR="002E1EF8" w:rsidRDefault="002E1EF8" w:rsidP="00D71055">
      <w:pPr>
        <w:pStyle w:val="Akapitzlist"/>
        <w:spacing w:after="120" w:line="276" w:lineRule="auto"/>
        <w:ind w:left="851"/>
        <w:contextualSpacing w:val="0"/>
        <w:jc w:val="both"/>
        <w:rPr>
          <w:rFonts w:ascii="Palatino Linotype" w:hAnsi="Palatino Linotype" w:cs="Tahoma"/>
          <w:sz w:val="22"/>
          <w:szCs w:val="22"/>
        </w:rPr>
      </w:pPr>
      <w:r w:rsidRPr="002E1EF8">
        <w:rPr>
          <w:rFonts w:ascii="Palatino Linotype" w:hAnsi="Palatino Linotype" w:cs="Tahoma"/>
          <w:sz w:val="22"/>
          <w:szCs w:val="22"/>
        </w:rPr>
        <w:t>Proszę o potwierdzanie że powyższy punk dotyczy Platformy hiperkonwergentnej</w:t>
      </w:r>
      <w:r>
        <w:rPr>
          <w:rFonts w:ascii="Palatino Linotype" w:hAnsi="Palatino Linotype" w:cs="Tahoma"/>
          <w:sz w:val="22"/>
          <w:szCs w:val="22"/>
        </w:rPr>
        <w:t>.</w:t>
      </w:r>
    </w:p>
    <w:p w14:paraId="719424F4" w14:textId="3C7D2756" w:rsidR="00D71055" w:rsidRDefault="00D71055" w:rsidP="002E1EF8">
      <w:pPr>
        <w:pStyle w:val="Akapitzlist"/>
        <w:spacing w:after="60" w:line="276" w:lineRule="auto"/>
        <w:ind w:left="851"/>
        <w:contextualSpacing w:val="0"/>
        <w:jc w:val="both"/>
        <w:rPr>
          <w:rFonts w:ascii="Palatino Linotype" w:hAnsi="Palatino Linotype" w:cs="Tahoma"/>
          <w:sz w:val="22"/>
          <w:szCs w:val="22"/>
        </w:rPr>
      </w:pPr>
      <w:r w:rsidRPr="00D71055">
        <w:rPr>
          <w:rFonts w:ascii="Palatino Linotype" w:hAnsi="Palatino Linotype" w:cs="Tahoma"/>
          <w:b/>
          <w:bCs/>
          <w:sz w:val="22"/>
          <w:szCs w:val="22"/>
        </w:rPr>
        <w:t>Odpowiedź</w:t>
      </w:r>
      <w:r>
        <w:rPr>
          <w:rFonts w:ascii="Palatino Linotype" w:hAnsi="Palatino Linotype" w:cs="Tahoma"/>
          <w:sz w:val="22"/>
          <w:szCs w:val="22"/>
        </w:rPr>
        <w:t>:</w:t>
      </w:r>
    </w:p>
    <w:p w14:paraId="7285F624" w14:textId="77777777"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Powyższe wymaganie odnosi się do systemu macierzy dyskowych. </w:t>
      </w:r>
    </w:p>
    <w:p w14:paraId="285AE1DD" w14:textId="4A6CCAF9" w:rsidR="00D71055" w:rsidRDefault="00D71055" w:rsidP="002E1EF8">
      <w:pPr>
        <w:pStyle w:val="Akapitzlist"/>
        <w:spacing w:after="60" w:line="276" w:lineRule="auto"/>
        <w:ind w:left="851"/>
        <w:contextualSpacing w:val="0"/>
        <w:jc w:val="both"/>
        <w:rPr>
          <w:rFonts w:ascii="Palatino Linotype" w:hAnsi="Palatino Linotype" w:cs="Tahoma"/>
          <w:sz w:val="22"/>
          <w:szCs w:val="22"/>
        </w:rPr>
      </w:pPr>
    </w:p>
    <w:p w14:paraId="4AB39E21" w14:textId="091EDB4F" w:rsidR="00D71055" w:rsidRDefault="00D71055" w:rsidP="00D71055">
      <w:pPr>
        <w:pStyle w:val="Akapitzlist"/>
        <w:numPr>
          <w:ilvl w:val="0"/>
          <w:numId w:val="35"/>
        </w:numPr>
        <w:spacing w:after="120" w:line="276" w:lineRule="auto"/>
        <w:ind w:left="425" w:hanging="425"/>
        <w:contextualSpacing w:val="0"/>
        <w:jc w:val="both"/>
        <w:rPr>
          <w:rFonts w:ascii="Palatino Linotype" w:hAnsi="Palatino Linotype" w:cs="Tahoma"/>
          <w:b/>
          <w:bCs/>
          <w:sz w:val="22"/>
          <w:szCs w:val="22"/>
        </w:rPr>
      </w:pPr>
      <w:r w:rsidRPr="00D71055">
        <w:rPr>
          <w:rFonts w:ascii="Palatino Linotype" w:hAnsi="Palatino Linotype" w:cs="Tahoma"/>
          <w:b/>
          <w:bCs/>
          <w:sz w:val="22"/>
          <w:szCs w:val="22"/>
        </w:rPr>
        <w:t xml:space="preserve">Pytania z </w:t>
      </w:r>
      <w:r>
        <w:rPr>
          <w:rFonts w:ascii="Palatino Linotype" w:hAnsi="Palatino Linotype" w:cs="Tahoma"/>
          <w:b/>
          <w:bCs/>
          <w:sz w:val="22"/>
          <w:szCs w:val="22"/>
        </w:rPr>
        <w:t xml:space="preserve">dnia </w:t>
      </w:r>
      <w:r w:rsidRPr="00D71055">
        <w:rPr>
          <w:rFonts w:ascii="Palatino Linotype" w:hAnsi="Palatino Linotype" w:cs="Tahoma"/>
          <w:b/>
          <w:bCs/>
          <w:sz w:val="22"/>
          <w:szCs w:val="22"/>
        </w:rPr>
        <w:t>15.04.2021 r. – pismo 1:</w:t>
      </w:r>
    </w:p>
    <w:p w14:paraId="7FD00923" w14:textId="79C0D6E1" w:rsidR="00D71055" w:rsidRDefault="00D71055"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421396F1" w14:textId="6011A327" w:rsidR="00FA1DA1" w:rsidRPr="00FA1DA1" w:rsidRDefault="00FA1DA1" w:rsidP="00FA1DA1">
      <w:pPr>
        <w:pStyle w:val="Akapitzlist"/>
        <w:spacing w:after="60" w:line="276" w:lineRule="auto"/>
        <w:ind w:left="851"/>
        <w:jc w:val="both"/>
        <w:rPr>
          <w:rFonts w:ascii="Palatino Linotype" w:hAnsi="Palatino Linotype" w:cs="Tahoma"/>
          <w:sz w:val="22"/>
          <w:szCs w:val="22"/>
        </w:rPr>
      </w:pPr>
      <w:r w:rsidRPr="00FA1DA1">
        <w:rPr>
          <w:rFonts w:ascii="Palatino Linotype" w:hAnsi="Palatino Linotype" w:cs="Tahoma"/>
          <w:sz w:val="22"/>
          <w:szCs w:val="22"/>
        </w:rPr>
        <w:t>Dotyczy: „Projekt techniczny wraz z opisem przedmiotu zamówienia” pkt. 5.6  Przełączniki SAN</w:t>
      </w:r>
      <w:r>
        <w:rPr>
          <w:rFonts w:ascii="Palatino Linotype" w:hAnsi="Palatino Linotype" w:cs="Tahoma"/>
          <w:sz w:val="22"/>
          <w:szCs w:val="22"/>
        </w:rPr>
        <w:t>.</w:t>
      </w:r>
    </w:p>
    <w:p w14:paraId="26EC3E70" w14:textId="4FC6E93B" w:rsidR="00FA1DA1" w:rsidRPr="00FA1DA1" w:rsidRDefault="00FA1DA1" w:rsidP="00FA1DA1">
      <w:pPr>
        <w:pStyle w:val="Akapitzlist"/>
        <w:spacing w:after="60" w:line="276" w:lineRule="auto"/>
        <w:ind w:left="851"/>
        <w:jc w:val="both"/>
        <w:rPr>
          <w:rFonts w:ascii="Palatino Linotype" w:hAnsi="Palatino Linotype" w:cs="Tahoma"/>
          <w:sz w:val="22"/>
          <w:szCs w:val="22"/>
        </w:rPr>
      </w:pPr>
      <w:r w:rsidRPr="00FA1DA1">
        <w:rPr>
          <w:rFonts w:ascii="Palatino Linotype" w:hAnsi="Palatino Linotype" w:cs="Tahoma"/>
          <w:sz w:val="22"/>
          <w:szCs w:val="22"/>
        </w:rPr>
        <w:t>Pytania do punktów:</w:t>
      </w:r>
      <w:r>
        <w:rPr>
          <w:rFonts w:ascii="Palatino Linotype" w:hAnsi="Palatino Linotype" w:cs="Tahoma"/>
          <w:sz w:val="22"/>
          <w:szCs w:val="22"/>
        </w:rPr>
        <w:t xml:space="preserve"> </w:t>
      </w:r>
      <w:r w:rsidRPr="00FA1DA1">
        <w:rPr>
          <w:rFonts w:ascii="Palatino Linotype" w:hAnsi="Palatino Linotype" w:cs="Tahoma"/>
          <w:sz w:val="22"/>
          <w:szCs w:val="22"/>
        </w:rPr>
        <w:t>Pkt 1 i 2</w:t>
      </w:r>
      <w:r>
        <w:rPr>
          <w:rFonts w:ascii="Palatino Linotype" w:hAnsi="Palatino Linotype" w:cs="Tahoma"/>
          <w:sz w:val="22"/>
          <w:szCs w:val="22"/>
        </w:rPr>
        <w:t>.</w:t>
      </w:r>
    </w:p>
    <w:p w14:paraId="76006CF2" w14:textId="7F54BCD5" w:rsidR="00D71055" w:rsidRDefault="00FA1DA1" w:rsidP="00FA1DA1">
      <w:pPr>
        <w:pStyle w:val="Akapitzlist"/>
        <w:spacing w:after="12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Czy zamawiający posiada urządzenia pracujące z prędkością 4Gbps i w związku z tym wymaga obsługi prędkości 4Gbps? Jeżeli nie to czy dopuści rozwiązanie które obsługuje minimalnie prędkość 8Gbps ale za to może pracować również z prędkością 64Gbps po zastosowaniu wkładek 64Gbps SFP?</w:t>
      </w:r>
    </w:p>
    <w:p w14:paraId="70DD2B5E" w14:textId="0F692CD4" w:rsidR="00FA1DA1" w:rsidRP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r w:rsidRPr="00FA1DA1">
        <w:rPr>
          <w:rFonts w:ascii="Palatino Linotype" w:hAnsi="Palatino Linotype" w:cs="Tahoma"/>
          <w:b/>
          <w:bCs/>
          <w:sz w:val="22"/>
          <w:szCs w:val="22"/>
        </w:rPr>
        <w:t>Odpowiedź:</w:t>
      </w:r>
    </w:p>
    <w:p w14:paraId="791F93F7" w14:textId="45278A32"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lastRenderedPageBreak/>
        <w:t>Wszelki sprzęt jest dostarczany w ramach tego postępowania. Dlatego też w przypadku, gdy wszystkie oferowane urządzenia pracują z prędkością min 8Gbps to Zamawiający dopuszcza dostarczenie przełączników pracujących z prędkością  min. 8Gbps</w:t>
      </w:r>
      <w:r w:rsidR="007833D6">
        <w:rPr>
          <w:rFonts w:ascii="Palatino Linotype" w:hAnsi="Palatino Linotype" w:cs="Tahoma"/>
          <w:sz w:val="22"/>
          <w:szCs w:val="22"/>
        </w:rPr>
        <w:t>.</w:t>
      </w:r>
    </w:p>
    <w:p w14:paraId="110583C4" w14:textId="50E9735E" w:rsidR="00057BA8" w:rsidRDefault="00057BA8" w:rsidP="00E10F3D">
      <w:pPr>
        <w:pStyle w:val="Akapitzlist"/>
        <w:spacing w:after="60" w:line="276" w:lineRule="auto"/>
        <w:ind w:left="851"/>
        <w:contextualSpacing w:val="0"/>
        <w:jc w:val="both"/>
        <w:rPr>
          <w:rFonts w:ascii="Palatino Linotype" w:hAnsi="Palatino Linotype" w:cs="Tahoma"/>
          <w:b/>
          <w:bCs/>
          <w:sz w:val="22"/>
          <w:szCs w:val="22"/>
        </w:rPr>
      </w:pPr>
    </w:p>
    <w:p w14:paraId="26FBB963" w14:textId="7BAA1D67" w:rsidR="00FA1DA1" w:rsidRDefault="00FA1DA1"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4836E703" w14:textId="768D559C" w:rsid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Dotyczy: „Projekt techniczny wraz z opisem przedmiotu zamówienia” pkt. 5.6  Przełączniki SAN</w:t>
      </w:r>
      <w:r>
        <w:rPr>
          <w:rFonts w:ascii="Palatino Linotype" w:hAnsi="Palatino Linotype" w:cs="Tahoma"/>
          <w:sz w:val="22"/>
          <w:szCs w:val="22"/>
        </w:rPr>
        <w:t>.</w:t>
      </w:r>
    </w:p>
    <w:p w14:paraId="271A3DC1" w14:textId="1CEE6BDB" w:rsidR="00FA1DA1" w:rsidRDefault="00FA1DA1" w:rsidP="00FA1DA1">
      <w:pPr>
        <w:pStyle w:val="Akapitzlist"/>
        <w:spacing w:after="60" w:line="276" w:lineRule="auto"/>
        <w:ind w:left="851"/>
        <w:contextualSpacing w:val="0"/>
        <w:jc w:val="both"/>
        <w:rPr>
          <w:rFonts w:ascii="Palatino Linotype" w:hAnsi="Palatino Linotype" w:cs="Tahoma"/>
          <w:sz w:val="22"/>
          <w:szCs w:val="22"/>
        </w:rPr>
      </w:pPr>
      <w:r>
        <w:rPr>
          <w:rFonts w:ascii="Palatino Linotype" w:hAnsi="Palatino Linotype" w:cs="Tahoma"/>
          <w:sz w:val="22"/>
          <w:szCs w:val="22"/>
        </w:rPr>
        <w:t>Pytania do punktów: pkt 5.</w:t>
      </w:r>
    </w:p>
    <w:p w14:paraId="01AC67DC" w14:textId="2502A202" w:rsidR="00FA1DA1" w:rsidRDefault="00FA1DA1" w:rsidP="00FA1DA1">
      <w:pPr>
        <w:pStyle w:val="Akapitzlist"/>
        <w:spacing w:after="12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Czy zamawiający wymaga dostarczenia licencji aktywującej opisaną funkcjonalność</w:t>
      </w:r>
      <w:r>
        <w:rPr>
          <w:rFonts w:ascii="Palatino Linotype" w:hAnsi="Palatino Linotype" w:cs="Tahoma"/>
          <w:sz w:val="22"/>
          <w:szCs w:val="22"/>
        </w:rPr>
        <w:t>?</w:t>
      </w:r>
    </w:p>
    <w:p w14:paraId="710DE716" w14:textId="1CC73464"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r w:rsidRPr="00FA1DA1">
        <w:rPr>
          <w:rFonts w:ascii="Palatino Linotype" w:hAnsi="Palatino Linotype" w:cs="Tahoma"/>
          <w:b/>
          <w:bCs/>
          <w:sz w:val="22"/>
          <w:szCs w:val="22"/>
        </w:rPr>
        <w:t>Odpowiedź:</w:t>
      </w:r>
    </w:p>
    <w:p w14:paraId="0C6DBC3B" w14:textId="18ED79EE"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Tak. Zamawiający wymaga dostarczenia licencji aktywującej opisaną funkcjonalność.</w:t>
      </w:r>
    </w:p>
    <w:p w14:paraId="2131995A" w14:textId="06D4CDF1"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p>
    <w:p w14:paraId="2CED4B87" w14:textId="752F5A5C" w:rsidR="00FA1DA1" w:rsidRDefault="00FA1DA1"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648ABA21" w14:textId="77777777" w:rsidR="00FA1DA1" w:rsidRP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Dotyczy: „Projekt techniczny wraz z opisem przedmiotu zamówienia” pkt. 5.6  Przełączniki SAN.</w:t>
      </w:r>
    </w:p>
    <w:p w14:paraId="34AA734E" w14:textId="349B697E" w:rsid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Pytania do punktów: pkt</w:t>
      </w:r>
      <w:r>
        <w:rPr>
          <w:rFonts w:ascii="Palatino Linotype" w:hAnsi="Palatino Linotype" w:cs="Tahoma"/>
          <w:sz w:val="22"/>
          <w:szCs w:val="22"/>
        </w:rPr>
        <w:t xml:space="preserve"> 6.</w:t>
      </w:r>
    </w:p>
    <w:p w14:paraId="492ACBB5" w14:textId="6166046E" w:rsidR="00FA1DA1" w:rsidRDefault="00FA1DA1" w:rsidP="00FA1DA1">
      <w:pPr>
        <w:pStyle w:val="Akapitzlist"/>
        <w:spacing w:after="12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Jedynie firma Cisco umożliwia stworzenie 32 wirtualnych sieci SAN w swoich przełącznikach. Zapis ten znacząco ogranicza konkurencję. Czy zamawiający dopuści rozwiązanie równoważne w którym można stworzyć 4 wirtualne sieci SAN?</w:t>
      </w:r>
    </w:p>
    <w:p w14:paraId="21C4D365" w14:textId="1C9C0D98"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r w:rsidRPr="00FA1DA1">
        <w:rPr>
          <w:rFonts w:ascii="Palatino Linotype" w:hAnsi="Palatino Linotype" w:cs="Tahoma"/>
          <w:b/>
          <w:bCs/>
          <w:sz w:val="22"/>
          <w:szCs w:val="22"/>
        </w:rPr>
        <w:t>Odpowiedź:</w:t>
      </w:r>
    </w:p>
    <w:p w14:paraId="29C23498" w14:textId="03273F88" w:rsidR="00FA1DA1" w:rsidRDefault="00A56F61"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Zamawiający </w:t>
      </w:r>
      <w:r w:rsidR="005079D2" w:rsidRPr="3DFD1CFE">
        <w:rPr>
          <w:rFonts w:ascii="Palatino Linotype" w:hAnsi="Palatino Linotype" w:cs="Tahoma"/>
          <w:sz w:val="22"/>
          <w:szCs w:val="22"/>
        </w:rPr>
        <w:t>dopu</w:t>
      </w:r>
      <w:r w:rsidR="005079D2">
        <w:rPr>
          <w:rFonts w:ascii="Palatino Linotype" w:hAnsi="Palatino Linotype" w:cs="Tahoma"/>
          <w:sz w:val="22"/>
          <w:szCs w:val="22"/>
        </w:rPr>
        <w:t>szcza</w:t>
      </w:r>
      <w:r w:rsidR="005079D2" w:rsidRPr="3DFD1CFE">
        <w:rPr>
          <w:rFonts w:ascii="Palatino Linotype" w:hAnsi="Palatino Linotype" w:cs="Tahoma"/>
          <w:sz w:val="22"/>
          <w:szCs w:val="22"/>
        </w:rPr>
        <w:t xml:space="preserve"> </w:t>
      </w:r>
      <w:r w:rsidRPr="3DFD1CFE">
        <w:rPr>
          <w:rFonts w:ascii="Palatino Linotype" w:hAnsi="Palatino Linotype" w:cs="Tahoma"/>
          <w:sz w:val="22"/>
          <w:szCs w:val="22"/>
        </w:rPr>
        <w:t>rozwiązanie jako równo</w:t>
      </w:r>
      <w:r w:rsidRPr="0003655A">
        <w:rPr>
          <w:rFonts w:ascii="Palatino Linotype" w:hAnsi="Palatino Linotype" w:cs="Tahoma"/>
          <w:sz w:val="22"/>
          <w:szCs w:val="22"/>
        </w:rPr>
        <w:t>ważne</w:t>
      </w:r>
      <w:r w:rsidR="098040C4" w:rsidRPr="3DFD1CFE">
        <w:rPr>
          <w:rFonts w:ascii="Palatino Linotype" w:hAnsi="Palatino Linotype" w:cs="Tahoma"/>
          <w:sz w:val="22"/>
          <w:szCs w:val="22"/>
        </w:rPr>
        <w:t>.</w:t>
      </w:r>
    </w:p>
    <w:p w14:paraId="446E5FF8" w14:textId="77777777"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p>
    <w:p w14:paraId="36948452" w14:textId="2F78A388" w:rsidR="00FA1DA1" w:rsidRDefault="00FA1DA1"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0DB4B46B" w14:textId="77777777" w:rsidR="00FA1DA1" w:rsidRP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Dotyczy: „Projekt techniczny wraz z opisem przedmiotu zamówienia” pkt. 5.6  Przełączniki SAN.</w:t>
      </w:r>
    </w:p>
    <w:p w14:paraId="687A2CB5" w14:textId="3660C97E" w:rsid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 xml:space="preserve">Pytania do punktów: pkt </w:t>
      </w:r>
      <w:r>
        <w:rPr>
          <w:rFonts w:ascii="Palatino Linotype" w:hAnsi="Palatino Linotype" w:cs="Tahoma"/>
          <w:sz w:val="22"/>
          <w:szCs w:val="22"/>
        </w:rPr>
        <w:t>7</w:t>
      </w:r>
      <w:r w:rsidRPr="00FA1DA1">
        <w:rPr>
          <w:rFonts w:ascii="Palatino Linotype" w:hAnsi="Palatino Linotype" w:cs="Tahoma"/>
          <w:sz w:val="22"/>
          <w:szCs w:val="22"/>
        </w:rPr>
        <w:t>.</w:t>
      </w:r>
    </w:p>
    <w:p w14:paraId="422656BF" w14:textId="2803708D" w:rsidR="00FA1DA1" w:rsidRDefault="00FA1DA1" w:rsidP="00FA1DA1">
      <w:pPr>
        <w:pStyle w:val="Akapitzlist"/>
        <w:spacing w:after="12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Czy zamawiający wymaga dostarczenia licencji aktywującej funkcjonalność routingu</w:t>
      </w:r>
      <w:r>
        <w:rPr>
          <w:rFonts w:ascii="Palatino Linotype" w:hAnsi="Palatino Linotype" w:cs="Tahoma"/>
          <w:sz w:val="22"/>
          <w:szCs w:val="22"/>
        </w:rPr>
        <w:t>?</w:t>
      </w:r>
    </w:p>
    <w:p w14:paraId="27018DD7" w14:textId="4B80FD3A"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r w:rsidRPr="00FA1DA1">
        <w:rPr>
          <w:rFonts w:ascii="Palatino Linotype" w:hAnsi="Palatino Linotype" w:cs="Tahoma"/>
          <w:b/>
          <w:bCs/>
          <w:sz w:val="22"/>
          <w:szCs w:val="22"/>
        </w:rPr>
        <w:t>Odpowiedź:</w:t>
      </w:r>
    </w:p>
    <w:p w14:paraId="5BE0C74D" w14:textId="59649804"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Tak. Zamawiający wymaga dostarczenia licencji aktywującej opisaną funkcjonalność.</w:t>
      </w:r>
    </w:p>
    <w:p w14:paraId="2E7F7EDA" w14:textId="6C32306F"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p>
    <w:p w14:paraId="5C78F7DA" w14:textId="7BFACF75" w:rsidR="00FA1DA1" w:rsidRDefault="00FA1DA1"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24D67F62" w14:textId="77777777" w:rsidR="00FA1DA1" w:rsidRP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Dotyczy: „Projekt techniczny wraz z opisem przedmiotu zamówienia” pkt. 5.6  Przełączniki SAN.</w:t>
      </w:r>
    </w:p>
    <w:p w14:paraId="5FF5A321" w14:textId="57F50D05" w:rsid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Pytania do punktów</w:t>
      </w:r>
      <w:r>
        <w:rPr>
          <w:rFonts w:ascii="Palatino Linotype" w:hAnsi="Palatino Linotype" w:cs="Tahoma"/>
          <w:sz w:val="22"/>
          <w:szCs w:val="22"/>
        </w:rPr>
        <w:t>: pkt 11a.</w:t>
      </w:r>
    </w:p>
    <w:p w14:paraId="6F017053" w14:textId="2A91ED8C" w:rsidR="00FA1DA1" w:rsidRDefault="00FA1DA1" w:rsidP="00FA1DA1">
      <w:pPr>
        <w:pStyle w:val="Akapitzlist"/>
        <w:spacing w:after="12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lastRenderedPageBreak/>
        <w:t xml:space="preserve">Czy zamawiający dopuści rozwiązanie które nie obsługę monitorowania i inspekcji protokołu </w:t>
      </w:r>
      <w:proofErr w:type="spellStart"/>
      <w:r w:rsidRPr="00FA1DA1">
        <w:rPr>
          <w:rFonts w:ascii="Palatino Linotype" w:hAnsi="Palatino Linotype" w:cs="Tahoma"/>
          <w:sz w:val="22"/>
          <w:szCs w:val="22"/>
        </w:rPr>
        <w:t>NVMe</w:t>
      </w:r>
      <w:proofErr w:type="spellEnd"/>
      <w:r w:rsidRPr="00FA1DA1">
        <w:rPr>
          <w:rFonts w:ascii="Palatino Linotype" w:hAnsi="Palatino Linotype" w:cs="Tahoma"/>
          <w:sz w:val="22"/>
          <w:szCs w:val="22"/>
        </w:rPr>
        <w:t xml:space="preserve"> ale obsługuje monitorowanie i inspekcję protokołu SCSI?</w:t>
      </w:r>
    </w:p>
    <w:p w14:paraId="3B52DB7E" w14:textId="5AF82FB2"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r w:rsidRPr="00FA1DA1">
        <w:rPr>
          <w:rFonts w:ascii="Palatino Linotype" w:hAnsi="Palatino Linotype" w:cs="Tahoma"/>
          <w:b/>
          <w:bCs/>
          <w:sz w:val="22"/>
          <w:szCs w:val="22"/>
        </w:rPr>
        <w:t>Odpowiedź:</w:t>
      </w:r>
    </w:p>
    <w:p w14:paraId="595E6FE8" w14:textId="77EF902D"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Zamawiający podtrzymuje </w:t>
      </w:r>
      <w:r w:rsidR="376A2F9C" w:rsidRPr="3DFD1CFE">
        <w:rPr>
          <w:rFonts w:ascii="Palatino Linotype" w:hAnsi="Palatino Linotype" w:cs="Tahoma"/>
          <w:sz w:val="22"/>
          <w:szCs w:val="22"/>
        </w:rPr>
        <w:t xml:space="preserve">dotychczasowe </w:t>
      </w:r>
      <w:r w:rsidRPr="3DFD1CFE">
        <w:rPr>
          <w:rFonts w:ascii="Palatino Linotype" w:hAnsi="Palatino Linotype" w:cs="Tahoma"/>
          <w:sz w:val="22"/>
          <w:szCs w:val="22"/>
        </w:rPr>
        <w:t>zapisy OPZ.</w:t>
      </w:r>
    </w:p>
    <w:p w14:paraId="7E4AB2FA" w14:textId="12C10F91"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p>
    <w:p w14:paraId="668BC3A7" w14:textId="77777777" w:rsidR="00FA1DA1" w:rsidRDefault="00FA1DA1"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1ADDDA20" w14:textId="77777777" w:rsidR="00FA1DA1" w:rsidRP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Dotyczy: „Projekt techniczny wraz z opisem przedmiotu zamówienia” pkt. 5.6  Przełączniki SAN.</w:t>
      </w:r>
    </w:p>
    <w:p w14:paraId="137EF323" w14:textId="044CBF97" w:rsidR="00FA1DA1" w:rsidRDefault="00FA1DA1" w:rsidP="00FA1DA1">
      <w:pPr>
        <w:pStyle w:val="Akapitzlist"/>
        <w:spacing w:after="6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Pytania do punktów</w:t>
      </w:r>
      <w:r>
        <w:rPr>
          <w:rFonts w:ascii="Palatino Linotype" w:hAnsi="Palatino Linotype" w:cs="Tahoma"/>
          <w:sz w:val="22"/>
          <w:szCs w:val="22"/>
        </w:rPr>
        <w:t>: pkt 11c.</w:t>
      </w:r>
    </w:p>
    <w:p w14:paraId="0F5EBC5B" w14:textId="06869998" w:rsidR="00FA1DA1" w:rsidRDefault="00FA1DA1" w:rsidP="00FA1DA1">
      <w:pPr>
        <w:pStyle w:val="Akapitzlist"/>
        <w:spacing w:after="120" w:line="276" w:lineRule="auto"/>
        <w:ind w:left="851"/>
        <w:contextualSpacing w:val="0"/>
        <w:jc w:val="both"/>
        <w:rPr>
          <w:rFonts w:ascii="Palatino Linotype" w:hAnsi="Palatino Linotype" w:cs="Tahoma"/>
          <w:sz w:val="22"/>
          <w:szCs w:val="22"/>
        </w:rPr>
      </w:pPr>
      <w:r w:rsidRPr="00FA1DA1">
        <w:rPr>
          <w:rFonts w:ascii="Palatino Linotype" w:hAnsi="Palatino Linotype" w:cs="Tahoma"/>
          <w:sz w:val="22"/>
          <w:szCs w:val="22"/>
        </w:rPr>
        <w:t>Jedynie firma Cisco stosuje rozwiązanie z dedykowanym portem do eksportu danych telemetrycznych co znacząco ogranicza konkurencję. Czy zamawiający dopuści rozwiązanie, w którym dane telemetryczne wysyłane są z przełącznika standardowym portem zarządzającym?</w:t>
      </w:r>
    </w:p>
    <w:p w14:paraId="74BF01FB" w14:textId="0F8033A7" w:rsidR="00FA1DA1" w:rsidRDefault="00FA1DA1" w:rsidP="00FA1DA1">
      <w:pPr>
        <w:pStyle w:val="Akapitzlist"/>
        <w:spacing w:after="60" w:line="276" w:lineRule="auto"/>
        <w:ind w:left="851"/>
        <w:contextualSpacing w:val="0"/>
        <w:jc w:val="both"/>
        <w:rPr>
          <w:rFonts w:ascii="Palatino Linotype" w:hAnsi="Palatino Linotype" w:cs="Tahoma"/>
          <w:b/>
          <w:bCs/>
          <w:sz w:val="22"/>
          <w:szCs w:val="22"/>
        </w:rPr>
      </w:pPr>
      <w:r w:rsidRPr="00FA1DA1">
        <w:rPr>
          <w:rFonts w:ascii="Palatino Linotype" w:hAnsi="Palatino Linotype" w:cs="Tahoma"/>
          <w:b/>
          <w:bCs/>
          <w:sz w:val="22"/>
          <w:szCs w:val="22"/>
        </w:rPr>
        <w:t>Odpowiedź:</w:t>
      </w:r>
    </w:p>
    <w:p w14:paraId="2B7F371F" w14:textId="50930C66"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 xml:space="preserve">Zamawiający </w:t>
      </w:r>
      <w:r w:rsidR="005079D2" w:rsidRPr="007833D6">
        <w:rPr>
          <w:rFonts w:ascii="Palatino Linotype" w:hAnsi="Palatino Linotype" w:cs="Tahoma"/>
          <w:sz w:val="22"/>
          <w:szCs w:val="22"/>
        </w:rPr>
        <w:t>dopu</w:t>
      </w:r>
      <w:r w:rsidR="005079D2">
        <w:rPr>
          <w:rFonts w:ascii="Palatino Linotype" w:hAnsi="Palatino Linotype" w:cs="Tahoma"/>
          <w:sz w:val="22"/>
          <w:szCs w:val="22"/>
        </w:rPr>
        <w:t xml:space="preserve">szcza </w:t>
      </w:r>
      <w:r w:rsidRPr="007833D6">
        <w:rPr>
          <w:rFonts w:ascii="Palatino Linotype" w:hAnsi="Palatino Linotype" w:cs="Tahoma"/>
          <w:sz w:val="22"/>
          <w:szCs w:val="22"/>
        </w:rPr>
        <w:t>rozwiązanie w którym dane telemetryczne wysyłane będą z przełącznika standardowym portem zarządzającym. Zamawiający modyfikuje OPZ rozdział 5.6 Przełączniki SAN punkt 11 podpunkt c w tym zakresie.  </w:t>
      </w:r>
    </w:p>
    <w:p w14:paraId="444A3E12" w14:textId="6F3C1F6A" w:rsidR="00FC69FE" w:rsidRDefault="00FC69FE" w:rsidP="00FA1DA1">
      <w:pPr>
        <w:pStyle w:val="Akapitzlist"/>
        <w:spacing w:after="60" w:line="276" w:lineRule="auto"/>
        <w:ind w:left="851"/>
        <w:contextualSpacing w:val="0"/>
        <w:jc w:val="both"/>
        <w:rPr>
          <w:rFonts w:ascii="Palatino Linotype" w:hAnsi="Palatino Linotype" w:cs="Tahoma"/>
          <w:b/>
          <w:bCs/>
          <w:sz w:val="22"/>
          <w:szCs w:val="22"/>
        </w:rPr>
      </w:pPr>
    </w:p>
    <w:p w14:paraId="708E0E68" w14:textId="77A4E80E" w:rsidR="00FC69FE" w:rsidRDefault="00FC69FE" w:rsidP="00FC69FE">
      <w:pPr>
        <w:pStyle w:val="Akapitzlist"/>
        <w:numPr>
          <w:ilvl w:val="0"/>
          <w:numId w:val="35"/>
        </w:numPr>
        <w:spacing w:after="120" w:line="276" w:lineRule="auto"/>
        <w:ind w:left="425" w:hanging="425"/>
        <w:contextualSpacing w:val="0"/>
        <w:jc w:val="both"/>
        <w:rPr>
          <w:rFonts w:ascii="Palatino Linotype" w:hAnsi="Palatino Linotype" w:cs="Tahoma"/>
          <w:b/>
          <w:bCs/>
          <w:sz w:val="22"/>
          <w:szCs w:val="22"/>
        </w:rPr>
      </w:pPr>
      <w:r>
        <w:rPr>
          <w:rFonts w:ascii="Palatino Linotype" w:hAnsi="Palatino Linotype" w:cs="Tahoma"/>
          <w:b/>
          <w:bCs/>
          <w:sz w:val="22"/>
          <w:szCs w:val="22"/>
        </w:rPr>
        <w:t>Pytania z dnia 15.04.2021 r. – pismo 2:</w:t>
      </w:r>
    </w:p>
    <w:p w14:paraId="42A5BCAA"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3B2B7B8F" w14:textId="0FF32813"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System kontrolerów i systemu dyskowego.</w:t>
      </w:r>
    </w:p>
    <w:p w14:paraId="50C9B44D" w14:textId="65C1140F"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Zamawiający w załączniku 1 do OPZ, paragraf 5.3, punkt 6 napisał:</w:t>
      </w:r>
    </w:p>
    <w:p w14:paraId="6516DFC9"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xml:space="preserve">„1. Dwa kontrolery wyposażone w przynajmniej 64GB cache każdy. </w:t>
      </w:r>
    </w:p>
    <w:p w14:paraId="39941EDA" w14:textId="4D6369A1"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xml:space="preserve">Zamawiający dopuszcza zastosowanie kontrolerów z 8GB pamięci Cache na kontroler gdy oferowana macierz będzie wyposażona w 5% przestrzeni na dyskach SSD z </w:t>
      </w:r>
      <w:proofErr w:type="spellStart"/>
      <w:r w:rsidRPr="00FC69FE">
        <w:rPr>
          <w:rFonts w:ascii="Palatino Linotype" w:hAnsi="Palatino Linotype" w:cs="Tahoma"/>
          <w:sz w:val="22"/>
          <w:szCs w:val="22"/>
        </w:rPr>
        <w:t>tieringiem</w:t>
      </w:r>
      <w:proofErr w:type="spellEnd"/>
      <w:r w:rsidRPr="00FC69FE">
        <w:rPr>
          <w:rFonts w:ascii="Palatino Linotype" w:hAnsi="Palatino Linotype" w:cs="Tahoma"/>
          <w:sz w:val="22"/>
          <w:szCs w:val="22"/>
        </w:rPr>
        <w:t xml:space="preserve"> danych lub funkcjonalnością SSD Cache dla odczytu i zapisu. ”</w:t>
      </w:r>
    </w:p>
    <w:p w14:paraId="02705C34"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Zwracamy uwagę na to, że wcześniejsze punkty w tym paragrafie dotyczą możliwości rozbudowy macierzy w konkretnych parametrach przez co instalacja dysków SSD de facto uniemożliwia spełnienie dalszych wymagań dotyczących konkretnej ilości dysków oraz możliwości ich rozbudowy. Prosimy o modyfikację tego zapisu:</w:t>
      </w:r>
    </w:p>
    <w:p w14:paraId="2B8DE38D"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„1. Dwa kontrolery wyposażone w przynajmniej 64GB cache każdy.</w:t>
      </w:r>
    </w:p>
    <w:p w14:paraId="0C676689" w14:textId="344F92C0"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Zamawiający dopuszcza zastosowanie kontrolerów z 8GB pamięci Cache w sytuacji gdzie obsługa zapisów i odczytów będzie zoptymalizowana w systemie kontrolerów zasobów dyskowych, co zostanie poświadczone oficjalnym oświadczeniem zarówno przez Producenta systemu kontrolerów dyskowych oraz Producenta macierzy dyskowych”</w:t>
      </w:r>
    </w:p>
    <w:p w14:paraId="7683C52A" w14:textId="577806E8"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Pr>
          <w:rFonts w:ascii="Palatino Linotype" w:hAnsi="Palatino Linotype" w:cs="Tahoma"/>
          <w:b/>
          <w:bCs/>
          <w:sz w:val="22"/>
          <w:szCs w:val="22"/>
        </w:rPr>
        <w:t>Odpowiedź:</w:t>
      </w:r>
    </w:p>
    <w:p w14:paraId="32ADCA40" w14:textId="165A2360" w:rsidR="00FC69FE"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lastRenderedPageBreak/>
        <w:t>Zamawiający modyfikuje zapisy OPZ rozdział 5.3 System macierzy dyskowych pkt 6</w:t>
      </w:r>
    </w:p>
    <w:p w14:paraId="1B0BE7CE" w14:textId="77777777"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p>
    <w:p w14:paraId="1FEE37A0"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7A3967D5" w14:textId="075151CA" w:rsid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System kontrolerów i systemu dyskowego.</w:t>
      </w:r>
    </w:p>
    <w:p w14:paraId="0D5269F0" w14:textId="6E63802E"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Zamawiający w załączniku 1 do OPZ, paragraf 5.3, punkt 2, 3 i 4 napisał:</w:t>
      </w:r>
    </w:p>
    <w:p w14:paraId="2DB6D4FC"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„2. Macierz musi pozwalać na wymianę:</w:t>
      </w:r>
    </w:p>
    <w:p w14:paraId="5A15953F"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8 portów 16Gb FC:</w:t>
      </w:r>
    </w:p>
    <w:p w14:paraId="090B7997"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na 8 portów 16Gb FC lub 10GbE SFP+</w:t>
      </w:r>
    </w:p>
    <w:p w14:paraId="18445852"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na 8 portów SAS 12Gb/s do podłączania hostów</w:t>
      </w:r>
    </w:p>
    <w:p w14:paraId="10FCF9B0"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Bez potrzeby wymiany kontrolera macierzy.</w:t>
      </w:r>
    </w:p>
    <w:p w14:paraId="54039BBE"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3. Zamawiający pozwala na dostarczenie macierzy, która nie spełnia warunku wymiany portów przy założeniu zaoferowania rozwiązania od razu wyposażonego w:</w:t>
      </w:r>
    </w:p>
    <w:p w14:paraId="297ABAD1"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12 portów FC 16Gb</w:t>
      </w:r>
    </w:p>
    <w:p w14:paraId="645DA1E4"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8 portów 10GbE SFP+</w:t>
      </w:r>
    </w:p>
    <w:p w14:paraId="771889FB"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8 portów SAS 12Gb/s do podłączania hostów</w:t>
      </w:r>
    </w:p>
    <w:p w14:paraId="03726071"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4. Lub wraz z macierzą zaoferowania macierzy z :</w:t>
      </w:r>
    </w:p>
    <w:p w14:paraId="55EA8513"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4 portami 16Gb FC i 4 portami SAS 12Gb/s i 4 portami SAS 12Gb</w:t>
      </w:r>
    </w:p>
    <w:p w14:paraId="21000252"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2 przełączników po 8 portów 16Gb FC</w:t>
      </w:r>
    </w:p>
    <w:p w14:paraId="1865C428"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2 przełączników po 8 portów 10GbE SFP_</w:t>
      </w:r>
    </w:p>
    <w:p w14:paraId="1322E722"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2 przełączników po 8 portów SAS 12Gb/s”</w:t>
      </w:r>
    </w:p>
    <w:p w14:paraId="12F5292A" w14:textId="56ABFCAE"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Zwracamy uwagę na to, że systemy kontrolerów zasobów dyskowych nie posiadają ani kart 10GbE (</w:t>
      </w:r>
      <w:proofErr w:type="spellStart"/>
      <w:r w:rsidRPr="00FC69FE">
        <w:rPr>
          <w:rFonts w:ascii="Palatino Linotype" w:hAnsi="Palatino Linotype" w:cs="Tahoma"/>
          <w:sz w:val="22"/>
          <w:szCs w:val="22"/>
        </w:rPr>
        <w:t>iSCSI</w:t>
      </w:r>
      <w:proofErr w:type="spellEnd"/>
      <w:r w:rsidRPr="00FC69FE">
        <w:rPr>
          <w:rFonts w:ascii="Palatino Linotype" w:hAnsi="Palatino Linotype" w:cs="Tahoma"/>
          <w:sz w:val="22"/>
          <w:szCs w:val="22"/>
        </w:rPr>
        <w:t xml:space="preserve">) ani kart SAS do obsługi </w:t>
      </w:r>
      <w:proofErr w:type="spellStart"/>
      <w:r w:rsidRPr="00FC69FE">
        <w:rPr>
          <w:rFonts w:ascii="Palatino Linotype" w:hAnsi="Palatino Linotype" w:cs="Tahoma"/>
          <w:sz w:val="22"/>
          <w:szCs w:val="22"/>
        </w:rPr>
        <w:t>backend</w:t>
      </w:r>
      <w:proofErr w:type="spellEnd"/>
      <w:r w:rsidRPr="00FC69FE">
        <w:rPr>
          <w:rFonts w:ascii="Palatino Linotype" w:hAnsi="Palatino Linotype" w:cs="Tahoma"/>
          <w:sz w:val="22"/>
          <w:szCs w:val="22"/>
        </w:rPr>
        <w:t xml:space="preserve"> – tylko i wyłącznie FC. W mienianiu Oferenta takie warunki dla macierzy dyskowych są bezzasadne i sztucznie ograniczają konkurencyjność jednocześnie pozornie dając możliwość alternatywy zwłaszcza, że przełączniki SAS bardzo rzadko spotykane na polskim rynku mają swoje technologiczne organicznie (np. rodzaj okablowania). Prośba o wykreślenie tych zapisów</w:t>
      </w:r>
      <w:r>
        <w:rPr>
          <w:rFonts w:ascii="Palatino Linotype" w:hAnsi="Palatino Linotype" w:cs="Tahoma"/>
          <w:sz w:val="22"/>
          <w:szCs w:val="22"/>
        </w:rPr>
        <w:t>.</w:t>
      </w:r>
    </w:p>
    <w:p w14:paraId="1F0982DE" w14:textId="78DE6BA4"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7D47A6D" w14:textId="4FF23DF1" w:rsidR="00FC69FE" w:rsidRDefault="00A56F61" w:rsidP="00FC69FE">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modyfikuje zapisy OPZ rozdział 5.3 System macierzy dyskowych pkt 7</w:t>
      </w:r>
    </w:p>
    <w:p w14:paraId="1B3F25F0" w14:textId="77777777" w:rsidR="007833D6" w:rsidRPr="007833D6" w:rsidRDefault="007833D6" w:rsidP="00FC69FE">
      <w:pPr>
        <w:pStyle w:val="Akapitzlist"/>
        <w:spacing w:after="120" w:line="276" w:lineRule="auto"/>
        <w:ind w:left="851"/>
        <w:contextualSpacing w:val="0"/>
        <w:jc w:val="both"/>
        <w:rPr>
          <w:rFonts w:ascii="Palatino Linotype" w:hAnsi="Palatino Linotype" w:cs="Tahoma"/>
          <w:sz w:val="22"/>
          <w:szCs w:val="22"/>
        </w:rPr>
      </w:pPr>
    </w:p>
    <w:p w14:paraId="4CA497FD"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43C869EE" w14:textId="7A94A64D" w:rsid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System kontrolerów i systemu dyskowego.</w:t>
      </w:r>
    </w:p>
    <w:p w14:paraId="2BD849D1" w14:textId="7A69B16C"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Zamawiający w załączniku 1 do OPZ, paragraf 5.3, punkt 9 podpunkt 4 napisał:</w:t>
      </w:r>
    </w:p>
    <w:p w14:paraId="23949DBC"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 xml:space="preserve">„4. Macierz musi posiadać funkcjonalność replikacji danych po FC (po zainstalowaniu portów FC na macierzy) lub </w:t>
      </w:r>
      <w:proofErr w:type="spellStart"/>
      <w:r w:rsidRPr="00FC69FE">
        <w:rPr>
          <w:rFonts w:ascii="Palatino Linotype" w:hAnsi="Palatino Linotype" w:cs="Tahoma"/>
          <w:sz w:val="22"/>
          <w:szCs w:val="22"/>
        </w:rPr>
        <w:t>iSCSI</w:t>
      </w:r>
      <w:proofErr w:type="spellEnd"/>
      <w:r w:rsidRPr="00FC69FE">
        <w:rPr>
          <w:rFonts w:ascii="Palatino Linotype" w:hAnsi="Palatino Linotype" w:cs="Tahoma"/>
          <w:sz w:val="22"/>
          <w:szCs w:val="22"/>
        </w:rPr>
        <w:t xml:space="preserve"> w trybie synchronicznym  i asynchronicznym”</w:t>
      </w:r>
    </w:p>
    <w:p w14:paraId="4FA9649F" w14:textId="4E023BED"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Zwracamy uwagę na to replikacja między ośrodkami będzie realizowana w trybie asynchronicznym a macierze blokowe ze swojej natury traktowane są jako rozwiąza</w:t>
      </w:r>
      <w:r w:rsidRPr="00FC69FE">
        <w:rPr>
          <w:rFonts w:ascii="Palatino Linotype" w:hAnsi="Palatino Linotype" w:cs="Tahoma"/>
          <w:sz w:val="22"/>
          <w:szCs w:val="22"/>
        </w:rPr>
        <w:lastRenderedPageBreak/>
        <w:t>nia nie posiadające pojedynczego punktu awarii. Dodatkowo wymagany system kontrolerów dyskowych, zgodnie z OPZ, musi zapewniać replikację miedzy macierzami nawet różnych producentów dlatego prośba o modyfikację tego zapisu przez jego usuniecie</w:t>
      </w:r>
      <w:r>
        <w:rPr>
          <w:rFonts w:ascii="Palatino Linotype" w:hAnsi="Palatino Linotype" w:cs="Tahoma"/>
          <w:sz w:val="22"/>
          <w:szCs w:val="22"/>
        </w:rPr>
        <w:t>.</w:t>
      </w:r>
    </w:p>
    <w:p w14:paraId="46C1CAFD" w14:textId="2A4C0E4B"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E3CC4A4" w14:textId="6BBDA697"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modyfikuje zapisy OPZ rozdział 5.3 System macierzy dyskowych punkt 9 poprzez rezygnację z trybu synchronicznego</w:t>
      </w:r>
      <w:r w:rsidR="007833D6">
        <w:rPr>
          <w:rFonts w:ascii="Palatino Linotype" w:hAnsi="Palatino Linotype" w:cs="Tahoma"/>
          <w:sz w:val="22"/>
          <w:szCs w:val="22"/>
        </w:rPr>
        <w:t>.</w:t>
      </w:r>
    </w:p>
    <w:p w14:paraId="42CD2837" w14:textId="538C9F12" w:rsidR="00FC69FE" w:rsidRDefault="00FC69FE" w:rsidP="00FC69FE">
      <w:pPr>
        <w:pStyle w:val="Akapitzlist"/>
        <w:spacing w:after="120" w:line="276" w:lineRule="auto"/>
        <w:ind w:left="851"/>
        <w:contextualSpacing w:val="0"/>
        <w:jc w:val="both"/>
        <w:rPr>
          <w:rFonts w:ascii="Palatino Linotype" w:hAnsi="Palatino Linotype" w:cs="Tahoma"/>
          <w:b/>
          <w:bCs/>
          <w:sz w:val="22"/>
          <w:szCs w:val="22"/>
        </w:rPr>
      </w:pPr>
    </w:p>
    <w:p w14:paraId="3B67DD74"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5F5BAEBB" w14:textId="5B4B292E" w:rsid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System kontrolerów i systemu dyskowego.</w:t>
      </w:r>
    </w:p>
    <w:p w14:paraId="3834B15D" w14:textId="01E8E9BD"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Zamawiający</w:t>
      </w:r>
      <w:r>
        <w:rPr>
          <w:rFonts w:ascii="Palatino Linotype" w:hAnsi="Palatino Linotype" w:cs="Tahoma"/>
          <w:sz w:val="22"/>
          <w:szCs w:val="22"/>
        </w:rPr>
        <w:t xml:space="preserve"> </w:t>
      </w:r>
      <w:r w:rsidRPr="00FC69FE">
        <w:rPr>
          <w:rFonts w:ascii="Palatino Linotype" w:hAnsi="Palatino Linotype" w:cs="Tahoma"/>
          <w:sz w:val="22"/>
          <w:szCs w:val="22"/>
        </w:rPr>
        <w:t>w załączniku 1 do OPZ, paragraf 5.3, punkt 10 napisał:</w:t>
      </w:r>
    </w:p>
    <w:p w14:paraId="58850B3C" w14:textId="77777777" w:rsidR="00FC69FE" w:rsidRPr="00FC69FE" w:rsidRDefault="00FC69FE" w:rsidP="00FC69FE">
      <w:pPr>
        <w:pStyle w:val="Akapitzlist"/>
        <w:spacing w:after="120" w:line="276" w:lineRule="auto"/>
        <w:ind w:left="851"/>
        <w:jc w:val="both"/>
        <w:rPr>
          <w:rFonts w:ascii="Palatino Linotype" w:hAnsi="Palatino Linotype" w:cs="Tahoma"/>
          <w:sz w:val="22"/>
          <w:szCs w:val="22"/>
        </w:rPr>
      </w:pPr>
      <w:r w:rsidRPr="00FC69FE">
        <w:rPr>
          <w:rFonts w:ascii="Palatino Linotype" w:hAnsi="Palatino Linotype" w:cs="Tahoma"/>
          <w:sz w:val="22"/>
          <w:szCs w:val="22"/>
        </w:rPr>
        <w:t>„Kontrolery macierzy musza umożliwiać przepustowość na poziomie 7GB/s, 320k IOPS. Zamawiający wymaga dostarczenia niezależnego testu potwierdzającego, że dany model macierzy osiągnie ten poziom wydajności przy zapisie mi 30%.”</w:t>
      </w:r>
    </w:p>
    <w:p w14:paraId="54BF4E41" w14:textId="3B040DE8"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Czy jeśli zamawiający przedstawi oficjalny dokument przygotowany przez Producenta macierzy potwierdzający wydajność 7GB, 320kIOPS Zamawiający uzna to za równoważne dla przeprowadzenia testu</w:t>
      </w:r>
      <w:r>
        <w:rPr>
          <w:rFonts w:ascii="Palatino Linotype" w:hAnsi="Palatino Linotype" w:cs="Tahoma"/>
          <w:sz w:val="22"/>
          <w:szCs w:val="22"/>
        </w:rPr>
        <w:t>.</w:t>
      </w:r>
    </w:p>
    <w:p w14:paraId="25965E3E" w14:textId="3CFC3481"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30938DCA" w14:textId="65ACDCB3"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Odpowiedź znajduje się w pytaniu </w:t>
      </w:r>
      <w:r w:rsidR="17538665" w:rsidRPr="3DFD1CFE">
        <w:rPr>
          <w:rFonts w:ascii="Palatino Linotype" w:hAnsi="Palatino Linotype" w:cs="Tahoma"/>
          <w:sz w:val="22"/>
          <w:szCs w:val="22"/>
        </w:rPr>
        <w:t>2.2</w:t>
      </w:r>
    </w:p>
    <w:p w14:paraId="3276FF26" w14:textId="1A2716D2" w:rsidR="00FC69FE" w:rsidRDefault="00FC69FE" w:rsidP="00FC69FE">
      <w:pPr>
        <w:pStyle w:val="Akapitzlist"/>
        <w:spacing w:after="120" w:line="276" w:lineRule="auto"/>
        <w:ind w:left="851"/>
        <w:contextualSpacing w:val="0"/>
        <w:jc w:val="both"/>
        <w:rPr>
          <w:rFonts w:ascii="Palatino Linotype" w:hAnsi="Palatino Linotype" w:cs="Tahoma"/>
          <w:b/>
          <w:bCs/>
          <w:sz w:val="22"/>
          <w:szCs w:val="22"/>
        </w:rPr>
      </w:pPr>
    </w:p>
    <w:p w14:paraId="216A3F11"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68A32ABD" w14:textId="52B97A28" w:rsidR="00FC69FE" w:rsidRDefault="00FC69FE" w:rsidP="00FC69FE">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System hiperkonwergentny</w:t>
      </w:r>
      <w:r>
        <w:rPr>
          <w:rFonts w:ascii="Palatino Linotype" w:hAnsi="Palatino Linotype" w:cs="Tahoma"/>
          <w:sz w:val="22"/>
          <w:szCs w:val="22"/>
        </w:rPr>
        <w:t>.</w:t>
      </w:r>
    </w:p>
    <w:p w14:paraId="30904173" w14:textId="0E852598"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 xml:space="preserve">Zamawiający w punkcie 4.2.6 wymaga aby system posiadał pojemność minimum 140 TB natomiast w punkcie 5.1 w sekcji 9 Podsystem pamięci masowej, Zamawiający wymaga dostarczenia przestrzeni dyskowej o pojemności 149 </w:t>
      </w:r>
      <w:proofErr w:type="spellStart"/>
      <w:r w:rsidRPr="00FC69FE">
        <w:rPr>
          <w:rFonts w:ascii="Palatino Linotype" w:hAnsi="Palatino Linotype" w:cs="Tahoma"/>
          <w:sz w:val="22"/>
          <w:szCs w:val="22"/>
        </w:rPr>
        <w:t>TiB</w:t>
      </w:r>
      <w:proofErr w:type="spellEnd"/>
      <w:r w:rsidRPr="00FC69FE">
        <w:rPr>
          <w:rFonts w:ascii="Palatino Linotype" w:hAnsi="Palatino Linotype" w:cs="Tahoma"/>
          <w:sz w:val="22"/>
          <w:szCs w:val="22"/>
        </w:rPr>
        <w:t xml:space="preserve"> przestrzeni użytecznej  przy założeniu awarii jednego </w:t>
      </w:r>
      <w:proofErr w:type="spellStart"/>
      <w:r w:rsidRPr="00FC69FE">
        <w:rPr>
          <w:rFonts w:ascii="Palatino Linotype" w:hAnsi="Palatino Linotype" w:cs="Tahoma"/>
          <w:sz w:val="22"/>
          <w:szCs w:val="22"/>
        </w:rPr>
        <w:t>noda</w:t>
      </w:r>
      <w:proofErr w:type="spellEnd"/>
      <w:r w:rsidRPr="00FC69FE">
        <w:rPr>
          <w:rFonts w:ascii="Palatino Linotype" w:hAnsi="Palatino Linotype" w:cs="Tahoma"/>
          <w:sz w:val="22"/>
          <w:szCs w:val="22"/>
        </w:rPr>
        <w:t xml:space="preserve"> w klastrze. Zwracamy się z uprzejmą prośbą o doprecyzowanie jaką pojemnością powinien dysponować dostarczony klaster oraz czy dostarczona pojemność powinna być wyliczona dla normalnej pracy klastra czy dla sytuacji awarii jednego </w:t>
      </w:r>
      <w:proofErr w:type="spellStart"/>
      <w:r w:rsidRPr="00FC69FE">
        <w:rPr>
          <w:rFonts w:ascii="Palatino Linotype" w:hAnsi="Palatino Linotype" w:cs="Tahoma"/>
          <w:sz w:val="22"/>
          <w:szCs w:val="22"/>
        </w:rPr>
        <w:t>noda</w:t>
      </w:r>
      <w:proofErr w:type="spellEnd"/>
      <w:r w:rsidRPr="00FC69FE">
        <w:rPr>
          <w:rFonts w:ascii="Palatino Linotype" w:hAnsi="Palatino Linotype" w:cs="Tahoma"/>
          <w:sz w:val="22"/>
          <w:szCs w:val="22"/>
        </w:rPr>
        <w:t xml:space="preserve"> w klastrze czyli dla wariantu nadmiarowości N+2 która została opisana w punkcie 4.2.6 dla serwerów.</w:t>
      </w:r>
    </w:p>
    <w:p w14:paraId="24FFEC12" w14:textId="4551B40D"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23F1127" w14:textId="77777777" w:rsidR="00A56F61" w:rsidRPr="007833D6" w:rsidRDefault="00A56F61"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Dostarczony klaster musi dysponować pojemnością 149TiB przestrzeni użytkowej – tj. uwzględniającą odjęcie wszelkich wymaganych nadmiarowości i zarezerwowanych do działania obszarów. </w:t>
      </w:r>
    </w:p>
    <w:p w14:paraId="6A752DA3" w14:textId="2C64BB08" w:rsidR="00FC69FE" w:rsidRDefault="00FC69FE" w:rsidP="00FC69FE">
      <w:pPr>
        <w:pStyle w:val="Akapitzlist"/>
        <w:spacing w:after="120" w:line="276" w:lineRule="auto"/>
        <w:ind w:left="851"/>
        <w:contextualSpacing w:val="0"/>
        <w:jc w:val="both"/>
        <w:rPr>
          <w:rFonts w:ascii="Palatino Linotype" w:hAnsi="Palatino Linotype" w:cs="Tahoma"/>
          <w:b/>
          <w:bCs/>
          <w:sz w:val="22"/>
          <w:szCs w:val="22"/>
        </w:rPr>
      </w:pPr>
    </w:p>
    <w:p w14:paraId="0360804A"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2F67DC34" w14:textId="7C4139CE" w:rsidR="00FC69FE" w:rsidRDefault="00FC69FE" w:rsidP="00FC69FE">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Pytanie dot. serwera backupu</w:t>
      </w:r>
      <w:r>
        <w:rPr>
          <w:rFonts w:ascii="Palatino Linotype" w:hAnsi="Palatino Linotype" w:cs="Tahoma"/>
          <w:sz w:val="22"/>
          <w:szCs w:val="22"/>
        </w:rPr>
        <w:t>.</w:t>
      </w:r>
    </w:p>
    <w:p w14:paraId="6D539FF3" w14:textId="19FE6E66"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lastRenderedPageBreak/>
        <w:t xml:space="preserve">Zamawiający w punkcie 5.5 sekcja 7 wymaga aby serwer pod backup był wyposażony w  2 interfejsy 10/25Gbit /s SFP natomiast w punkcie 5.5 podpunkt 5 wymaga aby serwer wyposażony był w interfejsy 10Gbit/s. Zwracamy się z prośbą o doprecyzowanie czy serwer powinien być wyposażony w interfejsy  umożliwiające z pracą 25 oraz 10 </w:t>
      </w:r>
      <w:proofErr w:type="spellStart"/>
      <w:r w:rsidRPr="00FC69FE">
        <w:rPr>
          <w:rFonts w:ascii="Palatino Linotype" w:hAnsi="Palatino Linotype" w:cs="Tahoma"/>
          <w:sz w:val="22"/>
          <w:szCs w:val="22"/>
        </w:rPr>
        <w:t>Gbit</w:t>
      </w:r>
      <w:proofErr w:type="spellEnd"/>
      <w:r w:rsidRPr="00FC69FE">
        <w:rPr>
          <w:rFonts w:ascii="Palatino Linotype" w:hAnsi="Palatino Linotype" w:cs="Tahoma"/>
          <w:sz w:val="22"/>
          <w:szCs w:val="22"/>
        </w:rPr>
        <w:t>/s czy z prędkością 10Gbit/s.</w:t>
      </w:r>
    </w:p>
    <w:p w14:paraId="12ADADE9" w14:textId="77777777"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8B223A9" w14:textId="339BA3F5"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Zamawiający ujednolica wymaganie dotyczące kart w serwerze backup i wymaga dostarczenia serwera backup wyposażonego w karty 25/10Gbit/s</w:t>
      </w:r>
      <w:r w:rsidR="46E34124" w:rsidRPr="3DFD1CFE">
        <w:rPr>
          <w:rFonts w:ascii="Palatino Linotype" w:hAnsi="Palatino Linotype" w:cs="Tahoma"/>
          <w:sz w:val="22"/>
          <w:szCs w:val="22"/>
        </w:rPr>
        <w:t>. Zamawiający modyfikuje OPZ rozdział 5.5 Wymagania dla serwera b</w:t>
      </w:r>
      <w:r w:rsidR="2062194C" w:rsidRPr="3DFD1CFE">
        <w:rPr>
          <w:rFonts w:ascii="Palatino Linotype" w:hAnsi="Palatino Linotype" w:cs="Tahoma"/>
          <w:sz w:val="22"/>
          <w:szCs w:val="22"/>
        </w:rPr>
        <w:t xml:space="preserve">ackup pkt 7. </w:t>
      </w:r>
    </w:p>
    <w:p w14:paraId="2BF58ECD" w14:textId="77777777" w:rsidR="00FC69FE" w:rsidRDefault="00FC69FE" w:rsidP="00FC69FE">
      <w:pPr>
        <w:pStyle w:val="Akapitzlist"/>
        <w:spacing w:after="120" w:line="276" w:lineRule="auto"/>
        <w:ind w:left="851"/>
        <w:contextualSpacing w:val="0"/>
        <w:jc w:val="both"/>
        <w:rPr>
          <w:rFonts w:ascii="Palatino Linotype" w:hAnsi="Palatino Linotype" w:cs="Tahoma"/>
          <w:b/>
          <w:bCs/>
          <w:sz w:val="22"/>
          <w:szCs w:val="22"/>
        </w:rPr>
      </w:pPr>
    </w:p>
    <w:p w14:paraId="06740912"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50DDFEE5" w14:textId="294114AD" w:rsidR="00FC69FE" w:rsidRDefault="00FC69FE" w:rsidP="00FC69FE">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serwera backupu.</w:t>
      </w:r>
    </w:p>
    <w:p w14:paraId="40C307D7" w14:textId="55964939"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Zamawiający w punkcie 5.5 sekcja 3 wymaga, aby serwer pod backupu wyposażony był w minimum dwa procesory 8 rdzeniowe. Natomiast w punkcie 4.2.7 Zamawiający dopuszcza możliwość aby serwer był wyposażony w jeden procesor. Zwracamy się z prośba o doprecyzowanie czy serwer backupu ma posiadać minimalnie jeden procesor czy dwa.</w:t>
      </w:r>
    </w:p>
    <w:p w14:paraId="3C206322" w14:textId="77777777"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2D2FA7A" w14:textId="77777777"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modyfikuje zapisy OPZ pkt 5.5 podpunkt 2 i 3 </w:t>
      </w:r>
    </w:p>
    <w:p w14:paraId="4187EBD0" w14:textId="77777777" w:rsidR="00FC69FE" w:rsidRDefault="00FC69FE" w:rsidP="00FC69FE">
      <w:pPr>
        <w:pStyle w:val="Akapitzlist"/>
        <w:spacing w:after="120" w:line="276" w:lineRule="auto"/>
        <w:ind w:left="851"/>
        <w:contextualSpacing w:val="0"/>
        <w:jc w:val="both"/>
        <w:rPr>
          <w:rFonts w:ascii="Palatino Linotype" w:hAnsi="Palatino Linotype" w:cs="Tahoma"/>
          <w:b/>
          <w:bCs/>
          <w:sz w:val="22"/>
          <w:szCs w:val="22"/>
        </w:rPr>
      </w:pPr>
    </w:p>
    <w:p w14:paraId="166E69F3"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24E34B86" w14:textId="77777777" w:rsidR="00FC69FE" w:rsidRDefault="00FC69FE" w:rsidP="00FC69FE">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serwera backupu.</w:t>
      </w:r>
    </w:p>
    <w:p w14:paraId="0183F7B6" w14:textId="60946C15"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Zamawiający w punkcie 4.2.7 opisuje aby serwer pod backupu był wyposażony w minimum 8 TB przestrzeni na dyskach SSD/NVME natomiast w punkcie 5.5 sekcja 6 wymaga aby serwer posiadał minimum 6 dysków o pojemności 1.6 TB SSD każdy. Zwracamy się z prośbą o doprecyzowanie wymagań</w:t>
      </w:r>
      <w:r>
        <w:rPr>
          <w:rFonts w:ascii="Palatino Linotype" w:hAnsi="Palatino Linotype" w:cs="Tahoma"/>
          <w:sz w:val="22"/>
          <w:szCs w:val="22"/>
        </w:rPr>
        <w:t>.</w:t>
      </w:r>
    </w:p>
    <w:p w14:paraId="0F635A62" w14:textId="77777777" w:rsidR="00FC69FE" w:rsidRDefault="00FC69FE" w:rsidP="00FC69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31322C24" w14:textId="5FF2680F"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nie widzi sprzeczności między wymaganiami. W pkt 4.2.7  Zamawiający wyraźnie wymaga [...]powierzchnia wew. dysków serwera ma również być wystarczająca do działania oprogramowania, nie mniejsza niż użytkowe 8TB oparte o dyski SSD/</w:t>
      </w:r>
      <w:proofErr w:type="spellStart"/>
      <w:r w:rsidRPr="007833D6">
        <w:rPr>
          <w:rFonts w:ascii="Palatino Linotype" w:hAnsi="Palatino Linotype" w:cs="Tahoma"/>
          <w:sz w:val="22"/>
          <w:szCs w:val="22"/>
        </w:rPr>
        <w:t>NVMe</w:t>
      </w:r>
      <w:proofErr w:type="spellEnd"/>
      <w:r w:rsidRPr="007833D6">
        <w:rPr>
          <w:rFonts w:ascii="Palatino Linotype" w:hAnsi="Palatino Linotype" w:cs="Tahoma"/>
          <w:sz w:val="22"/>
          <w:szCs w:val="22"/>
        </w:rPr>
        <w:t>.</w:t>
      </w:r>
    </w:p>
    <w:p w14:paraId="718F1680" w14:textId="77777777" w:rsidR="00FC69FE" w:rsidRDefault="00FC69FE" w:rsidP="00FC69FE">
      <w:pPr>
        <w:pStyle w:val="Akapitzlist"/>
        <w:spacing w:after="120" w:line="276" w:lineRule="auto"/>
        <w:ind w:left="851"/>
        <w:contextualSpacing w:val="0"/>
        <w:jc w:val="both"/>
        <w:rPr>
          <w:rFonts w:ascii="Palatino Linotype" w:hAnsi="Palatino Linotype" w:cs="Tahoma"/>
          <w:b/>
          <w:bCs/>
          <w:sz w:val="22"/>
          <w:szCs w:val="22"/>
        </w:rPr>
      </w:pPr>
    </w:p>
    <w:p w14:paraId="195F0F7C" w14:textId="77777777" w:rsidR="00FC69FE" w:rsidRDefault="00FC69FE"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39033B3E" w14:textId="2AD21940" w:rsidR="00FC69FE" w:rsidRDefault="00FC69FE" w:rsidP="00FC69FE">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UPS.</w:t>
      </w:r>
    </w:p>
    <w:p w14:paraId="23223A16" w14:textId="754C7C7F" w:rsidR="00FC69FE" w:rsidRDefault="00FC69FE" w:rsidP="00FC69FE">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w:t>
      </w:r>
      <w:r>
        <w:rPr>
          <w:rFonts w:ascii="Palatino Linotype" w:hAnsi="Palatino Linotype" w:cs="Tahoma"/>
          <w:sz w:val="22"/>
          <w:szCs w:val="22"/>
        </w:rPr>
        <w:t>ą</w:t>
      </w:r>
      <w:r w:rsidRPr="00FC69FE">
        <w:rPr>
          <w:rFonts w:ascii="Palatino Linotype" w:hAnsi="Palatino Linotype" w:cs="Tahoma"/>
          <w:sz w:val="22"/>
          <w:szCs w:val="22"/>
        </w:rPr>
        <w:t xml:space="preserve">cy w punkcie 8 podpunkt 33, wymaga testów przełączenie zasilania z zasilania sieciowego na zasilanie zapasowe z wykorzystaniem </w:t>
      </w:r>
      <w:proofErr w:type="spellStart"/>
      <w:r w:rsidRPr="00FC69FE">
        <w:rPr>
          <w:rFonts w:ascii="Palatino Linotype" w:hAnsi="Palatino Linotype" w:cs="Tahoma"/>
          <w:sz w:val="22"/>
          <w:szCs w:val="22"/>
        </w:rPr>
        <w:t>UPSów</w:t>
      </w:r>
      <w:proofErr w:type="spellEnd"/>
      <w:r w:rsidRPr="00FC69FE">
        <w:rPr>
          <w:rFonts w:ascii="Palatino Linotype" w:hAnsi="Palatino Linotype" w:cs="Tahoma"/>
          <w:sz w:val="22"/>
          <w:szCs w:val="22"/>
        </w:rPr>
        <w:t xml:space="preserve">. Zwracamy się prośba o wyłączenie powyższego zapisu z punktów testów. Swoją prośbą motywujemy fakt ze </w:t>
      </w:r>
      <w:proofErr w:type="spellStart"/>
      <w:r w:rsidRPr="00FC69FE">
        <w:rPr>
          <w:rFonts w:ascii="Palatino Linotype" w:hAnsi="Palatino Linotype" w:cs="Tahoma"/>
          <w:sz w:val="22"/>
          <w:szCs w:val="22"/>
        </w:rPr>
        <w:t>UPSy</w:t>
      </w:r>
      <w:proofErr w:type="spellEnd"/>
      <w:r w:rsidRPr="00FC69FE">
        <w:rPr>
          <w:rFonts w:ascii="Palatino Linotype" w:hAnsi="Palatino Linotype" w:cs="Tahoma"/>
          <w:sz w:val="22"/>
          <w:szCs w:val="22"/>
        </w:rPr>
        <w:t xml:space="preserve"> będące w posiadaniu zamawiającego nie są przedmiotem zakupu</w:t>
      </w:r>
      <w:r>
        <w:rPr>
          <w:rFonts w:ascii="Palatino Linotype" w:hAnsi="Palatino Linotype" w:cs="Tahoma"/>
          <w:sz w:val="22"/>
          <w:szCs w:val="22"/>
        </w:rPr>
        <w:t>.</w:t>
      </w:r>
    </w:p>
    <w:p w14:paraId="3E3FDDB3" w14:textId="77777777" w:rsidR="00C87530" w:rsidRDefault="00C87530" w:rsidP="00C87530">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lastRenderedPageBreak/>
        <w:t>Odpowiedź:</w:t>
      </w:r>
    </w:p>
    <w:p w14:paraId="0F2A4A27" w14:textId="195EABD2"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podtrzymuje zapisy OPZ. Zwraca jednocześnie uwagę, że sposób podłączenia dostarczanych urządzeń jest przedmiotem postępowania.</w:t>
      </w:r>
    </w:p>
    <w:p w14:paraId="3328F69E" w14:textId="77777777" w:rsidR="00C87530" w:rsidRDefault="00C87530" w:rsidP="00C87530">
      <w:pPr>
        <w:pStyle w:val="Akapitzlist"/>
        <w:spacing w:after="120" w:line="276" w:lineRule="auto"/>
        <w:ind w:left="851"/>
        <w:contextualSpacing w:val="0"/>
        <w:jc w:val="both"/>
        <w:rPr>
          <w:rFonts w:ascii="Palatino Linotype" w:hAnsi="Palatino Linotype" w:cs="Tahoma"/>
          <w:b/>
          <w:bCs/>
          <w:sz w:val="22"/>
          <w:szCs w:val="22"/>
        </w:rPr>
      </w:pPr>
    </w:p>
    <w:p w14:paraId="4589D607" w14:textId="77777777" w:rsidR="00C87530" w:rsidRDefault="00C87530"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53E4A116" w14:textId="720AB839" w:rsidR="00C87530" w:rsidRDefault="00C87530" w:rsidP="00C87530">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szkoleń.</w:t>
      </w:r>
    </w:p>
    <w:p w14:paraId="125107C1" w14:textId="2CDB10F8" w:rsidR="00C87530" w:rsidRDefault="00C87530" w:rsidP="00C87530">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w:t>
      </w:r>
      <w:r>
        <w:rPr>
          <w:rFonts w:ascii="Palatino Linotype" w:hAnsi="Palatino Linotype" w:cs="Tahoma"/>
          <w:sz w:val="22"/>
          <w:szCs w:val="22"/>
        </w:rPr>
        <w:t>ą</w:t>
      </w:r>
      <w:r w:rsidRPr="00FC69FE">
        <w:rPr>
          <w:rFonts w:ascii="Palatino Linotype" w:hAnsi="Palatino Linotype" w:cs="Tahoma"/>
          <w:sz w:val="22"/>
          <w:szCs w:val="22"/>
        </w:rPr>
        <w:t>cy</w:t>
      </w:r>
      <w:r>
        <w:rPr>
          <w:rFonts w:ascii="Palatino Linotype" w:hAnsi="Palatino Linotype" w:cs="Tahoma"/>
          <w:sz w:val="22"/>
          <w:szCs w:val="22"/>
        </w:rPr>
        <w:t xml:space="preserve"> </w:t>
      </w:r>
      <w:r w:rsidRPr="00C87530">
        <w:rPr>
          <w:rFonts w:ascii="Palatino Linotype" w:hAnsi="Palatino Linotype" w:cs="Tahoma"/>
          <w:sz w:val="22"/>
          <w:szCs w:val="22"/>
        </w:rPr>
        <w:t>w punkcie 10, wymagania aby dostarczyć vouchery na szkolenia autoryzowane poszczególnych części dostarczonego rozwiązania. Jako że zamawiający dopuścił, że platforma hiperkonwerge</w:t>
      </w:r>
      <w:r>
        <w:rPr>
          <w:rFonts w:ascii="Palatino Linotype" w:hAnsi="Palatino Linotype" w:cs="Tahoma"/>
          <w:sz w:val="22"/>
          <w:szCs w:val="22"/>
        </w:rPr>
        <w:t>n</w:t>
      </w:r>
      <w:r w:rsidRPr="00C87530">
        <w:rPr>
          <w:rFonts w:ascii="Palatino Linotype" w:hAnsi="Palatino Linotype" w:cs="Tahoma"/>
          <w:sz w:val="22"/>
          <w:szCs w:val="22"/>
        </w:rPr>
        <w:t>tna może składać się z 3 niezależnych warstw w tym serwery, system SDS oraz system wirtualizacji. Czy w przypadku oferty takiego rozwiązania należy dostarczyć po 2 vouchery na każdą warstwę?</w:t>
      </w:r>
    </w:p>
    <w:p w14:paraId="1C76AB26" w14:textId="77777777" w:rsidR="00C87530" w:rsidRDefault="00C87530" w:rsidP="00C87530">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1689312" w14:textId="74EDBB2D"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Zamawiający zwraca uwagę, że dostarczane elementy platformy hiperkonwergentnej mają być dostarczone, zaprojektowane, zintegrowane oraz wspierane przez jednego dostawcę Nie mniej jednak Zamawiający będzie wymagał dostarczenia voucherów dla każdej warstwy platformy  hiperkonwergentnej (platformy serwerowej, systemu SDS oraz systemu wirtualizacji). W związku z tym Zamawiający modyfikuje zapisy OPZ </w:t>
      </w:r>
      <w:r w:rsidR="38062550" w:rsidRPr="3DFD1CFE">
        <w:rPr>
          <w:rFonts w:ascii="Palatino Linotype" w:hAnsi="Palatino Linotype" w:cs="Tahoma"/>
          <w:sz w:val="22"/>
          <w:szCs w:val="22"/>
        </w:rPr>
        <w:t xml:space="preserve">rozdział </w:t>
      </w:r>
      <w:r w:rsidRPr="3DFD1CFE">
        <w:rPr>
          <w:rFonts w:ascii="Palatino Linotype" w:hAnsi="Palatino Linotype" w:cs="Tahoma"/>
          <w:sz w:val="22"/>
          <w:szCs w:val="22"/>
        </w:rPr>
        <w:t>10 Szkolenia.</w:t>
      </w:r>
    </w:p>
    <w:p w14:paraId="0F908316" w14:textId="77777777" w:rsidR="00C87530" w:rsidRDefault="00C87530" w:rsidP="00C87530">
      <w:pPr>
        <w:pStyle w:val="Akapitzlist"/>
        <w:spacing w:after="120" w:line="276" w:lineRule="auto"/>
        <w:ind w:left="851"/>
        <w:contextualSpacing w:val="0"/>
        <w:jc w:val="both"/>
        <w:rPr>
          <w:rFonts w:ascii="Palatino Linotype" w:hAnsi="Palatino Linotype" w:cs="Tahoma"/>
          <w:b/>
          <w:bCs/>
          <w:sz w:val="22"/>
          <w:szCs w:val="22"/>
        </w:rPr>
      </w:pPr>
    </w:p>
    <w:p w14:paraId="360191E6" w14:textId="77777777" w:rsidR="00C87530" w:rsidRDefault="00C87530"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7546F327" w14:textId="77777777" w:rsidR="00C87530" w:rsidRDefault="00C87530" w:rsidP="00C87530">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szkoleń.</w:t>
      </w:r>
    </w:p>
    <w:p w14:paraId="68374EE8" w14:textId="436FDAA6" w:rsidR="00C87530" w:rsidRDefault="00C87530" w:rsidP="00C87530">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w:t>
      </w:r>
      <w:r>
        <w:rPr>
          <w:rFonts w:ascii="Palatino Linotype" w:hAnsi="Palatino Linotype" w:cs="Tahoma"/>
          <w:sz w:val="22"/>
          <w:szCs w:val="22"/>
        </w:rPr>
        <w:t>ą</w:t>
      </w:r>
      <w:r w:rsidRPr="00FC69FE">
        <w:rPr>
          <w:rFonts w:ascii="Palatino Linotype" w:hAnsi="Palatino Linotype" w:cs="Tahoma"/>
          <w:sz w:val="22"/>
          <w:szCs w:val="22"/>
        </w:rPr>
        <w:t>cy</w:t>
      </w:r>
      <w:r>
        <w:rPr>
          <w:rFonts w:ascii="Palatino Linotype" w:hAnsi="Palatino Linotype" w:cs="Tahoma"/>
          <w:sz w:val="22"/>
          <w:szCs w:val="22"/>
        </w:rPr>
        <w:t xml:space="preserve"> </w:t>
      </w:r>
      <w:r w:rsidRPr="00C87530">
        <w:rPr>
          <w:rFonts w:ascii="Palatino Linotype" w:hAnsi="Palatino Linotype" w:cs="Tahoma"/>
          <w:sz w:val="22"/>
          <w:szCs w:val="22"/>
        </w:rPr>
        <w:t>w punkcie 10, wymaga aby szkolenia były przeprowadzone w centrach szkoleniowych producentów na terenie Polski. Zwracając uwagę na panująca epidemie oraz nie wszyscy dostawcy posiadają certyfikowane centra szkoleniowe na terenie polski. Czy zamawiający zaakceptuje vouchery który umożliwiają odbycia szkolenia autoryzowane danego producenta w sposób zdalny lub na terenie Unii Europejskiej</w:t>
      </w:r>
      <w:r>
        <w:rPr>
          <w:rFonts w:ascii="Palatino Linotype" w:hAnsi="Palatino Linotype" w:cs="Tahoma"/>
          <w:sz w:val="22"/>
          <w:szCs w:val="22"/>
        </w:rPr>
        <w:t>?</w:t>
      </w:r>
    </w:p>
    <w:p w14:paraId="2DE83438" w14:textId="77777777" w:rsidR="00C87530" w:rsidRDefault="00C87530" w:rsidP="00C87530">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4028015D" w14:textId="718F004E" w:rsidR="00C87530" w:rsidRDefault="007833D6" w:rsidP="00C87530">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dopuszcza przeprowadzenie autoryzowanego szkolenia w sposób zdalny.</w:t>
      </w:r>
    </w:p>
    <w:p w14:paraId="160BB004" w14:textId="77777777" w:rsidR="007833D6" w:rsidRPr="007833D6" w:rsidRDefault="007833D6" w:rsidP="00C87530">
      <w:pPr>
        <w:pStyle w:val="Akapitzlist"/>
        <w:spacing w:after="120" w:line="276" w:lineRule="auto"/>
        <w:ind w:left="851"/>
        <w:contextualSpacing w:val="0"/>
        <w:jc w:val="both"/>
        <w:rPr>
          <w:rFonts w:ascii="Palatino Linotype" w:hAnsi="Palatino Linotype" w:cs="Tahoma"/>
          <w:sz w:val="22"/>
          <w:szCs w:val="22"/>
        </w:rPr>
      </w:pPr>
    </w:p>
    <w:p w14:paraId="59C92F64" w14:textId="77777777" w:rsidR="00C87530" w:rsidRDefault="00C87530"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162BEAAB" w14:textId="50FFF7A5" w:rsidR="00C87530" w:rsidRDefault="00C87530" w:rsidP="00C87530">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wdrożenia.</w:t>
      </w:r>
    </w:p>
    <w:p w14:paraId="3523F224" w14:textId="1135ADD5" w:rsidR="00C87530" w:rsidRDefault="00C87530" w:rsidP="00C87530">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w:t>
      </w:r>
      <w:r>
        <w:rPr>
          <w:rFonts w:ascii="Palatino Linotype" w:hAnsi="Palatino Linotype" w:cs="Tahoma"/>
          <w:sz w:val="22"/>
          <w:szCs w:val="22"/>
        </w:rPr>
        <w:t>ą</w:t>
      </w:r>
      <w:r w:rsidRPr="00FC69FE">
        <w:rPr>
          <w:rFonts w:ascii="Palatino Linotype" w:hAnsi="Palatino Linotype" w:cs="Tahoma"/>
          <w:sz w:val="22"/>
          <w:szCs w:val="22"/>
        </w:rPr>
        <w:t>cy</w:t>
      </w:r>
      <w:r>
        <w:rPr>
          <w:rFonts w:ascii="Palatino Linotype" w:hAnsi="Palatino Linotype" w:cs="Tahoma"/>
          <w:sz w:val="22"/>
          <w:szCs w:val="22"/>
        </w:rPr>
        <w:t xml:space="preserve"> </w:t>
      </w:r>
      <w:proofErr w:type="spellStart"/>
      <w:r w:rsidRPr="00C87530">
        <w:rPr>
          <w:rFonts w:ascii="Palatino Linotype" w:hAnsi="Palatino Linotype" w:cs="Tahoma"/>
          <w:sz w:val="22"/>
          <w:szCs w:val="22"/>
        </w:rPr>
        <w:t>Zamawiający</w:t>
      </w:r>
      <w:proofErr w:type="spellEnd"/>
      <w:r w:rsidRPr="00C87530">
        <w:rPr>
          <w:rFonts w:ascii="Palatino Linotype" w:hAnsi="Palatino Linotype" w:cs="Tahoma"/>
          <w:sz w:val="22"/>
          <w:szCs w:val="22"/>
        </w:rPr>
        <w:t xml:space="preserve"> w punkcie 11 opisującym wdrożenie platformy </w:t>
      </w:r>
      <w:proofErr w:type="spellStart"/>
      <w:r w:rsidRPr="00C87530">
        <w:rPr>
          <w:rFonts w:ascii="Palatino Linotype" w:hAnsi="Palatino Linotype" w:cs="Tahoma"/>
          <w:sz w:val="22"/>
          <w:szCs w:val="22"/>
        </w:rPr>
        <w:t>hiperkonwergetnej</w:t>
      </w:r>
      <w:proofErr w:type="spellEnd"/>
      <w:r w:rsidRPr="00C87530">
        <w:rPr>
          <w:rFonts w:ascii="Palatino Linotype" w:hAnsi="Palatino Linotype" w:cs="Tahoma"/>
          <w:sz w:val="22"/>
          <w:szCs w:val="22"/>
        </w:rPr>
        <w:t xml:space="preserve"> uwzględnia kilka komponentów takich jak rozwiązanie </w:t>
      </w:r>
      <w:proofErr w:type="spellStart"/>
      <w:r w:rsidRPr="00C87530">
        <w:rPr>
          <w:rFonts w:ascii="Palatino Linotype" w:hAnsi="Palatino Linotype" w:cs="Tahoma"/>
          <w:sz w:val="22"/>
          <w:szCs w:val="22"/>
        </w:rPr>
        <w:t>hiperkonwergetne</w:t>
      </w:r>
      <w:proofErr w:type="spellEnd"/>
      <w:r w:rsidRPr="00C87530">
        <w:rPr>
          <w:rFonts w:ascii="Palatino Linotype" w:hAnsi="Palatino Linotype" w:cs="Tahoma"/>
          <w:sz w:val="22"/>
          <w:szCs w:val="22"/>
        </w:rPr>
        <w:t xml:space="preserve"> oraz system do backupu. Następnie wymaga aby rozwiązanie było wdrożone przez autoryzowanego inżyniera producenta. Zwracamy się z prośbą o modyfikacje powyższego zapisu ponieważ większość producentów opiera się o zasoby technicznie </w:t>
      </w:r>
      <w:r w:rsidRPr="00C87530">
        <w:rPr>
          <w:rFonts w:ascii="Palatino Linotype" w:hAnsi="Palatino Linotype" w:cs="Tahoma"/>
          <w:sz w:val="22"/>
          <w:szCs w:val="22"/>
        </w:rPr>
        <w:lastRenderedPageBreak/>
        <w:t>swoich partnerów oraz posiada wiele ścieżek certyfikacji oraz specjalizacji. Dodatkowo część producentów posiada swoje zasoby techniczne w innych Państwa na terenie Unii Europejskiej oraz w pozostałych krajach na świecie. W chwili obecnej podróże takich osób są nie możliwe oraz nie można podać terminu, kiedy takie podróże będą możliwe zarówno do Polski jak z i Polski. Zwracamy się z uprzejmą prośbą o dopuszczenie, aby wdrożenie było wykonywane przez inżynierów posiadających oficjalne oraz ważne certyfikaty danego producenta rozwiązania potwierdzające znajomość wdrażanej technologii</w:t>
      </w:r>
      <w:r>
        <w:rPr>
          <w:rFonts w:ascii="Palatino Linotype" w:hAnsi="Palatino Linotype" w:cs="Tahoma"/>
          <w:sz w:val="22"/>
          <w:szCs w:val="22"/>
        </w:rPr>
        <w:t>.</w:t>
      </w:r>
    </w:p>
    <w:p w14:paraId="0692BD51" w14:textId="77777777" w:rsidR="00C87530" w:rsidRDefault="00C87530" w:rsidP="00C87530">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3C99C3D9" w14:textId="76F49A92"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Zamawiający rozumie wdrożenie przez autoryzowanego inżyniera producenta jako wdrożenie wykonywane przez inżynierów posiadających oficjalne oraz ważne certyfikaty producenta</w:t>
      </w:r>
      <w:r w:rsidR="2F9D0CA6" w:rsidRPr="3DFD1CFE">
        <w:rPr>
          <w:rFonts w:ascii="Palatino Linotype" w:hAnsi="Palatino Linotype" w:cs="Tahoma"/>
          <w:sz w:val="22"/>
          <w:szCs w:val="22"/>
        </w:rPr>
        <w:t xml:space="preserve"> danego</w:t>
      </w:r>
      <w:r w:rsidRPr="3DFD1CFE">
        <w:rPr>
          <w:rFonts w:ascii="Palatino Linotype" w:hAnsi="Palatino Linotype" w:cs="Tahoma"/>
          <w:sz w:val="22"/>
          <w:szCs w:val="22"/>
        </w:rPr>
        <w:t xml:space="preserve"> rozwiązania potwierdzające znajomość wdrażanej technologii. </w:t>
      </w:r>
    </w:p>
    <w:p w14:paraId="46758B11" w14:textId="77777777" w:rsidR="00C87530" w:rsidRDefault="00C87530" w:rsidP="00C87530">
      <w:pPr>
        <w:pStyle w:val="Akapitzlist"/>
        <w:spacing w:after="120" w:line="276" w:lineRule="auto"/>
        <w:ind w:left="851"/>
        <w:contextualSpacing w:val="0"/>
        <w:jc w:val="both"/>
        <w:rPr>
          <w:rFonts w:ascii="Palatino Linotype" w:hAnsi="Palatino Linotype" w:cs="Tahoma"/>
          <w:b/>
          <w:bCs/>
          <w:sz w:val="22"/>
          <w:szCs w:val="22"/>
        </w:rPr>
      </w:pPr>
    </w:p>
    <w:p w14:paraId="2664DF52" w14:textId="77777777" w:rsidR="00C87530" w:rsidRDefault="00C87530"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06D825F5" w14:textId="68148E55" w:rsidR="00C87530" w:rsidRDefault="00C87530" w:rsidP="00C87530">
      <w:pPr>
        <w:pStyle w:val="Akapitzlist"/>
        <w:spacing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P</w:t>
      </w:r>
      <w:r>
        <w:rPr>
          <w:rFonts w:ascii="Palatino Linotype" w:hAnsi="Palatino Linotype" w:cs="Tahoma"/>
          <w:sz w:val="22"/>
          <w:szCs w:val="22"/>
        </w:rPr>
        <w:t>ytanie dot. gwarancji.</w:t>
      </w:r>
    </w:p>
    <w:p w14:paraId="535A7FF2" w14:textId="452E4012" w:rsidR="00C87530" w:rsidRDefault="00C87530" w:rsidP="00C87530">
      <w:pPr>
        <w:pStyle w:val="Akapitzlist"/>
        <w:spacing w:after="120" w:line="276" w:lineRule="auto"/>
        <w:ind w:left="851"/>
        <w:contextualSpacing w:val="0"/>
        <w:jc w:val="both"/>
        <w:rPr>
          <w:rFonts w:ascii="Palatino Linotype" w:hAnsi="Palatino Linotype" w:cs="Tahoma"/>
          <w:sz w:val="22"/>
          <w:szCs w:val="22"/>
        </w:rPr>
      </w:pPr>
      <w:r w:rsidRPr="00FC69FE">
        <w:rPr>
          <w:rFonts w:ascii="Palatino Linotype" w:hAnsi="Palatino Linotype" w:cs="Tahoma"/>
          <w:sz w:val="22"/>
          <w:szCs w:val="22"/>
        </w:rPr>
        <w:t>Zamawiaj</w:t>
      </w:r>
      <w:r>
        <w:rPr>
          <w:rFonts w:ascii="Palatino Linotype" w:hAnsi="Palatino Linotype" w:cs="Tahoma"/>
          <w:sz w:val="22"/>
          <w:szCs w:val="22"/>
        </w:rPr>
        <w:t>ą</w:t>
      </w:r>
      <w:r w:rsidRPr="00FC69FE">
        <w:rPr>
          <w:rFonts w:ascii="Palatino Linotype" w:hAnsi="Palatino Linotype" w:cs="Tahoma"/>
          <w:sz w:val="22"/>
          <w:szCs w:val="22"/>
        </w:rPr>
        <w:t>cy</w:t>
      </w:r>
      <w:r>
        <w:rPr>
          <w:rFonts w:ascii="Palatino Linotype" w:hAnsi="Palatino Linotype" w:cs="Tahoma"/>
          <w:sz w:val="22"/>
          <w:szCs w:val="22"/>
        </w:rPr>
        <w:t xml:space="preserve"> </w:t>
      </w:r>
      <w:r w:rsidRPr="00C87530">
        <w:rPr>
          <w:rFonts w:ascii="Palatino Linotype" w:hAnsi="Palatino Linotype" w:cs="Tahoma"/>
          <w:sz w:val="22"/>
          <w:szCs w:val="22"/>
        </w:rPr>
        <w:t>w punkcie 12 w podpunkcie 7 wymaga, aby usługi gwarancyjne były realizowane przez autoryzowanego serwis producenta lub poprzez Wykonawcę. Zwracamy się z pytaniem czy Zamawiający wymaga aby wszystkie komponenty dostarczonego rozwiązania posiadały wykupione wsparcie serwisowe o każdego producenta zgodnie z wymagania opisanymi w OPZ? Zwracamy także uwagę ze w punktach 5.3 podpunkt 11 Zamawiający wymaga, aby serwis był świadczony przez producenta z 2 godzinnym czasem odpowiedzi na awarie krytyczne i dostawą elementów w następny dzień roboczy oraz musi posiadać również 3 lata subskrypcji dla dostarczonej macierzy</w:t>
      </w:r>
      <w:r>
        <w:rPr>
          <w:rFonts w:ascii="Palatino Linotype" w:hAnsi="Palatino Linotype" w:cs="Tahoma"/>
          <w:sz w:val="22"/>
          <w:szCs w:val="22"/>
        </w:rPr>
        <w:t>.</w:t>
      </w:r>
    </w:p>
    <w:p w14:paraId="6BCCD610" w14:textId="77777777" w:rsidR="00C87530" w:rsidRDefault="00C87530" w:rsidP="00C87530">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7B917DB7" w14:textId="68AADA3F"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Zgodnie z treścią SWZ Zamawiający nie wymaga aby wszystkie komponenty dostarczonego rozwiązania posiadały wykupione wsparcie serwisowe u każdego producenta.  </w:t>
      </w:r>
      <w:r w:rsidR="4EE46C0F" w:rsidRPr="3DFD1CFE">
        <w:rPr>
          <w:rFonts w:ascii="Palatino Linotype" w:hAnsi="Palatino Linotype" w:cs="Tahoma"/>
          <w:sz w:val="22"/>
          <w:szCs w:val="22"/>
        </w:rPr>
        <w:t xml:space="preserve">Zamawiający wymaga jednak możliwości zgłaszania awarii również do producenta. </w:t>
      </w:r>
    </w:p>
    <w:p w14:paraId="1790C2E1" w14:textId="77777777"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zwraca uwagę, że przedstawiony 2 godzinny czas odpowiedzi jest czasem reakcji na zgłoszenie. </w:t>
      </w:r>
    </w:p>
    <w:p w14:paraId="2C3D0FB6" w14:textId="77777777" w:rsidR="00C87530" w:rsidRDefault="00C87530" w:rsidP="00C87530">
      <w:pPr>
        <w:pStyle w:val="Akapitzlist"/>
        <w:spacing w:after="120" w:line="276" w:lineRule="auto"/>
        <w:ind w:left="851"/>
        <w:contextualSpacing w:val="0"/>
        <w:jc w:val="both"/>
        <w:rPr>
          <w:rFonts w:ascii="Palatino Linotype" w:hAnsi="Palatino Linotype" w:cs="Tahoma"/>
          <w:b/>
          <w:bCs/>
          <w:sz w:val="22"/>
          <w:szCs w:val="22"/>
        </w:rPr>
      </w:pPr>
    </w:p>
    <w:p w14:paraId="2B1423E4" w14:textId="130C23FD" w:rsidR="00C87530" w:rsidRDefault="00C87530" w:rsidP="00C87530">
      <w:pPr>
        <w:pStyle w:val="Akapitzlist"/>
        <w:numPr>
          <w:ilvl w:val="0"/>
          <w:numId w:val="35"/>
        </w:numPr>
        <w:spacing w:after="120" w:line="276" w:lineRule="auto"/>
        <w:ind w:left="425" w:hanging="425"/>
        <w:contextualSpacing w:val="0"/>
        <w:jc w:val="both"/>
        <w:rPr>
          <w:rFonts w:ascii="Palatino Linotype" w:hAnsi="Palatino Linotype" w:cs="Tahoma"/>
          <w:b/>
          <w:bCs/>
          <w:sz w:val="22"/>
          <w:szCs w:val="22"/>
        </w:rPr>
      </w:pPr>
      <w:r w:rsidRPr="00C87530">
        <w:rPr>
          <w:rFonts w:ascii="Palatino Linotype" w:hAnsi="Palatino Linotype" w:cs="Tahoma"/>
          <w:b/>
          <w:bCs/>
          <w:sz w:val="22"/>
          <w:szCs w:val="22"/>
        </w:rPr>
        <w:t>Pytania z dnia 16.04.2021 r. – pismo 1:</w:t>
      </w:r>
    </w:p>
    <w:p w14:paraId="53CD652B" w14:textId="2EAA6370" w:rsidR="00C87530" w:rsidRDefault="00C87530"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74B0E99A" w14:textId="63BB186C" w:rsidR="00C87530" w:rsidRPr="00C87530" w:rsidRDefault="00C87530" w:rsidP="00C87530">
      <w:pPr>
        <w:pStyle w:val="Akapitzlist"/>
        <w:spacing w:after="60" w:line="276" w:lineRule="auto"/>
        <w:ind w:left="851"/>
        <w:jc w:val="both"/>
        <w:rPr>
          <w:rFonts w:ascii="Palatino Linotype" w:hAnsi="Palatino Linotype" w:cs="Tahoma"/>
          <w:sz w:val="22"/>
          <w:szCs w:val="22"/>
        </w:rPr>
      </w:pPr>
      <w:r w:rsidRPr="00C87530">
        <w:rPr>
          <w:rFonts w:ascii="Palatino Linotype" w:hAnsi="Palatino Linotype" w:cs="Tahoma"/>
          <w:sz w:val="22"/>
          <w:szCs w:val="22"/>
        </w:rPr>
        <w:t>Warunki udziału w postępowaniu: SWZ p.7.1.4.1</w:t>
      </w:r>
      <w:r>
        <w:rPr>
          <w:rFonts w:ascii="Palatino Linotype" w:hAnsi="Palatino Linotype" w:cs="Tahoma"/>
          <w:sz w:val="22"/>
          <w:szCs w:val="22"/>
        </w:rPr>
        <w:t>.</w:t>
      </w:r>
    </w:p>
    <w:p w14:paraId="59B57E2D" w14:textId="1BA4CDF7" w:rsidR="00C87530" w:rsidRDefault="00C87530" w:rsidP="00C87530">
      <w:pPr>
        <w:pStyle w:val="Akapitzlist"/>
        <w:spacing w:after="60" w:line="276" w:lineRule="auto"/>
        <w:ind w:left="851"/>
        <w:contextualSpacing w:val="0"/>
        <w:jc w:val="both"/>
        <w:rPr>
          <w:rFonts w:ascii="Palatino Linotype" w:hAnsi="Palatino Linotype" w:cs="Tahoma"/>
          <w:sz w:val="22"/>
          <w:szCs w:val="22"/>
        </w:rPr>
      </w:pPr>
      <w:r w:rsidRPr="00C87530">
        <w:rPr>
          <w:rFonts w:ascii="Palatino Linotype" w:hAnsi="Palatino Linotype" w:cs="Tahoma"/>
          <w:sz w:val="22"/>
          <w:szCs w:val="22"/>
        </w:rPr>
        <w:t xml:space="preserve">Pytanie: Czy z uwagi na kompleksowe wymaganie odnośnie ilości technologii z zakresu warunku dotyczącego zdolności technicznej lub zawodowej, Zamawiający </w:t>
      </w:r>
      <w:r w:rsidRPr="00C87530">
        <w:rPr>
          <w:rFonts w:ascii="Palatino Linotype" w:hAnsi="Palatino Linotype" w:cs="Tahoma"/>
          <w:sz w:val="22"/>
          <w:szCs w:val="22"/>
        </w:rPr>
        <w:lastRenderedPageBreak/>
        <w:t xml:space="preserve">uzna ten warunek za spełniony, jeśli Wykonawca należycie wykonał 3 zamówienia o wartości co najmniej 1 000 000,00 złotych brutto każde, polegające na dostawie, wdrożeniu uruchomieniu i utrzymaniu infrastruktury IT do budowy centrum przetwarzania danych, sumarycznie zawierające wszystkie wymagane technologie: platformę </w:t>
      </w:r>
      <w:proofErr w:type="spellStart"/>
      <w:r w:rsidRPr="00C87530">
        <w:rPr>
          <w:rFonts w:ascii="Palatino Linotype" w:hAnsi="Palatino Linotype" w:cs="Tahoma"/>
          <w:sz w:val="22"/>
          <w:szCs w:val="22"/>
        </w:rPr>
        <w:t>hiperkonwergentną</w:t>
      </w:r>
      <w:proofErr w:type="spellEnd"/>
      <w:r w:rsidRPr="00C87530">
        <w:rPr>
          <w:rFonts w:ascii="Palatino Linotype" w:hAnsi="Palatino Linotype" w:cs="Tahoma"/>
          <w:sz w:val="22"/>
          <w:szCs w:val="22"/>
        </w:rPr>
        <w:t>, macierz, przełączniki SAN, przełączniki sieci LAN, routery, firewalle oraz backup.</w:t>
      </w:r>
    </w:p>
    <w:p w14:paraId="60996DAA" w14:textId="77777777" w:rsidR="00C87530" w:rsidRDefault="00C87530" w:rsidP="00C87530">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84E31FF" w14:textId="77777777"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007833D6">
        <w:rPr>
          <w:rFonts w:ascii="Palatino Linotype" w:hAnsi="Palatino Linotype" w:cs="Tahoma"/>
          <w:sz w:val="22"/>
          <w:szCs w:val="22"/>
        </w:rPr>
        <w:t>Zamawiający zastosował wskazane kryterium  w celu wyboru Wykonawcy posiadającego niezbędne doświadczenie przy projektach o wskazanej skali. </w:t>
      </w:r>
    </w:p>
    <w:p w14:paraId="1AE0FD06" w14:textId="20DABCFD" w:rsidR="007833D6" w:rsidRPr="007833D6" w:rsidRDefault="007833D6" w:rsidP="007833D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Zamawiający pozostawia zapisy SWZ bez zmian. </w:t>
      </w:r>
    </w:p>
    <w:p w14:paraId="79110FBC" w14:textId="77777777" w:rsidR="00C87530" w:rsidRDefault="00C87530" w:rsidP="00C87530">
      <w:pPr>
        <w:pStyle w:val="Akapitzlist"/>
        <w:spacing w:after="120" w:line="276" w:lineRule="auto"/>
        <w:ind w:left="851"/>
        <w:contextualSpacing w:val="0"/>
        <w:jc w:val="both"/>
        <w:rPr>
          <w:rFonts w:ascii="Palatino Linotype" w:hAnsi="Palatino Linotype" w:cs="Tahoma"/>
          <w:b/>
          <w:bCs/>
          <w:sz w:val="22"/>
          <w:szCs w:val="22"/>
        </w:rPr>
      </w:pPr>
    </w:p>
    <w:p w14:paraId="1E959E9A" w14:textId="118291FF" w:rsidR="00C87530" w:rsidRDefault="00C87530" w:rsidP="007E4EAA">
      <w:pPr>
        <w:pStyle w:val="Akapitzlist"/>
        <w:numPr>
          <w:ilvl w:val="0"/>
          <w:numId w:val="35"/>
        </w:numPr>
        <w:spacing w:after="120" w:line="276" w:lineRule="auto"/>
        <w:ind w:left="425" w:hanging="425"/>
        <w:contextualSpacing w:val="0"/>
        <w:jc w:val="both"/>
        <w:rPr>
          <w:rFonts w:ascii="Palatino Linotype" w:hAnsi="Palatino Linotype" w:cs="Tahoma"/>
          <w:b/>
          <w:bCs/>
          <w:sz w:val="22"/>
          <w:szCs w:val="22"/>
        </w:rPr>
      </w:pPr>
      <w:r>
        <w:rPr>
          <w:rFonts w:ascii="Palatino Linotype" w:hAnsi="Palatino Linotype" w:cs="Tahoma"/>
          <w:b/>
          <w:bCs/>
          <w:sz w:val="22"/>
          <w:szCs w:val="22"/>
        </w:rPr>
        <w:t>Pytani</w:t>
      </w:r>
      <w:r w:rsidR="007E4EAA">
        <w:rPr>
          <w:rFonts w:ascii="Palatino Linotype" w:hAnsi="Palatino Linotype" w:cs="Tahoma"/>
          <w:b/>
          <w:bCs/>
          <w:sz w:val="22"/>
          <w:szCs w:val="22"/>
        </w:rPr>
        <w:t>a z dnia 19.04.2021 r. – pismo 1</w:t>
      </w:r>
      <w:r>
        <w:rPr>
          <w:rFonts w:ascii="Palatino Linotype" w:hAnsi="Palatino Linotype" w:cs="Tahoma"/>
          <w:b/>
          <w:bCs/>
          <w:sz w:val="22"/>
          <w:szCs w:val="22"/>
        </w:rPr>
        <w:t>:</w:t>
      </w:r>
    </w:p>
    <w:p w14:paraId="1C7E3155" w14:textId="586C5EB7" w:rsidR="00C87530" w:rsidRPr="007E4EAA" w:rsidRDefault="00C87530" w:rsidP="007E4EAA">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sidRPr="007E4EAA">
        <w:rPr>
          <w:rFonts w:ascii="Palatino Linotype" w:hAnsi="Palatino Linotype" w:cs="Tahoma"/>
          <w:b/>
          <w:bCs/>
          <w:sz w:val="22"/>
          <w:szCs w:val="22"/>
        </w:rPr>
        <w:t>Pytanie</w:t>
      </w:r>
      <w:r w:rsidR="007E4EAA">
        <w:rPr>
          <w:rFonts w:ascii="Palatino Linotype" w:hAnsi="Palatino Linotype" w:cs="Tahoma"/>
          <w:b/>
          <w:bCs/>
          <w:sz w:val="22"/>
          <w:szCs w:val="22"/>
        </w:rPr>
        <w:t>:</w:t>
      </w:r>
    </w:p>
    <w:p w14:paraId="35C0395B"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Proszę o potwierdzenie:</w:t>
      </w:r>
    </w:p>
    <w:p w14:paraId="2A6531C0"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w:t>
      </w:r>
      <w:r w:rsidRPr="007E4EAA">
        <w:rPr>
          <w:rFonts w:ascii="Palatino Linotype" w:hAnsi="Palatino Linotype" w:cs="Tahoma"/>
          <w:sz w:val="22"/>
          <w:szCs w:val="22"/>
        </w:rPr>
        <w:tab/>
        <w:t xml:space="preserve">wszystkie połączenia zestawiane na wkładkach SFP 1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(poza routerami BGP) i SFP+ 10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będą odpowiednio obsłużone typami wkładek 1000BASE-SX lub 10GBASE-SR </w:t>
      </w:r>
    </w:p>
    <w:p w14:paraId="0732567D"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w:t>
      </w:r>
      <w:r w:rsidRPr="007E4EAA">
        <w:rPr>
          <w:rFonts w:ascii="Palatino Linotype" w:hAnsi="Palatino Linotype" w:cs="Tahoma"/>
          <w:sz w:val="22"/>
          <w:szCs w:val="22"/>
        </w:rPr>
        <w:tab/>
        <w:t xml:space="preserve">wszystkie połączenia 40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będą zestawiane na wkładkach typu  40GBASE-SR-BiDi</w:t>
      </w:r>
    </w:p>
    <w:p w14:paraId="507A6FC4" w14:textId="2683E6BC"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t>lub wyjaśnienie jaki standard łączności na wkładkach SFP ma obowiązywać pomiędzy poszczególnymi urządzeniami</w:t>
      </w:r>
      <w:r>
        <w:rPr>
          <w:rFonts w:ascii="Palatino Linotype" w:hAnsi="Palatino Linotype" w:cs="Tahoma"/>
          <w:sz w:val="22"/>
          <w:szCs w:val="22"/>
        </w:rPr>
        <w:t>.</w:t>
      </w:r>
    </w:p>
    <w:p w14:paraId="0AAB622A"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2CE05E50" w14:textId="77777777" w:rsidR="007833D6" w:rsidRPr="00F268A6" w:rsidRDefault="007833D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 xml:space="preserve">Zamawiający potwierdza, że w przypadku połączeń 10Gbit oczekuje zastosowania wkładek typu SR; w przypadku połączeń 40Gbit wkładek typu SR.  Zamawiający nie specyfikuje konkretnego typu podłączenia wkładek 40Gbit i dopuszcza zarówno </w:t>
      </w:r>
      <w:proofErr w:type="spellStart"/>
      <w:r w:rsidRPr="00F268A6">
        <w:rPr>
          <w:rFonts w:ascii="Palatino Linotype" w:hAnsi="Palatino Linotype" w:cs="Tahoma"/>
          <w:sz w:val="22"/>
          <w:szCs w:val="22"/>
        </w:rPr>
        <w:t>BiDi</w:t>
      </w:r>
      <w:proofErr w:type="spellEnd"/>
      <w:r w:rsidRPr="00F268A6">
        <w:rPr>
          <w:rFonts w:ascii="Palatino Linotype" w:hAnsi="Palatino Linotype" w:cs="Tahoma"/>
          <w:sz w:val="22"/>
          <w:szCs w:val="22"/>
        </w:rPr>
        <w:t xml:space="preserve"> jak i 4SR. gdzie użyto wkładek SFP o prędkości </w:t>
      </w:r>
    </w:p>
    <w:p w14:paraId="22D18666" w14:textId="77777777" w:rsidR="007833D6" w:rsidRPr="00F268A6" w:rsidRDefault="007833D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 xml:space="preserve">Zamawiający wymaga by wszelkie połączenia pomiędzy szafami serwerowymi prowadzone były z zastosowaniem istniejących </w:t>
      </w:r>
      <w:proofErr w:type="spellStart"/>
      <w:r w:rsidRPr="00F268A6">
        <w:rPr>
          <w:rFonts w:ascii="Palatino Linotype" w:hAnsi="Palatino Linotype" w:cs="Tahoma"/>
          <w:sz w:val="22"/>
          <w:szCs w:val="22"/>
        </w:rPr>
        <w:t>pathpaneli</w:t>
      </w:r>
      <w:proofErr w:type="spellEnd"/>
      <w:r w:rsidRPr="00F268A6">
        <w:rPr>
          <w:rFonts w:ascii="Palatino Linotype" w:hAnsi="Palatino Linotype" w:cs="Tahoma"/>
          <w:sz w:val="22"/>
          <w:szCs w:val="22"/>
        </w:rPr>
        <w:t xml:space="preserve"> lub zainstalowaniem dodatkowych jeśli są wymagane. </w:t>
      </w:r>
    </w:p>
    <w:p w14:paraId="6BE19908"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48B8B574" w14:textId="77777777" w:rsidR="007E4EAA"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5844EC3E"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 xml:space="preserve">4.2.2 " Należy wyposażyć każdy z przełączników w 24 wkładki SFP 1/10/25GB (pracujące z trzema wymienionymi prędkościami)." </w:t>
      </w:r>
    </w:p>
    <w:p w14:paraId="6727E515"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Proszę o potwierdzenie:</w:t>
      </w:r>
    </w:p>
    <w:p w14:paraId="008C3950"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 xml:space="preserve">Do przełączników rdzeniowych należy dostarczyć wkładki, których typ i ilość będzie umożliwiać zestawienie połączeń opisanych w projekcie. Oprócz ww. wkładek należy dostarczyć wkładki dwuzakresowe 10/25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wielomodowe tak, aby ilość </w:t>
      </w:r>
      <w:r w:rsidRPr="007E4EAA">
        <w:rPr>
          <w:rFonts w:ascii="Palatino Linotype" w:hAnsi="Palatino Linotype" w:cs="Tahoma"/>
          <w:sz w:val="22"/>
          <w:szCs w:val="22"/>
        </w:rPr>
        <w:lastRenderedPageBreak/>
        <w:t xml:space="preserve">wkładek w portach 10/25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w jednym przełączniku rdzeniowym sumowała się do 24 sztuk;</w:t>
      </w:r>
    </w:p>
    <w:p w14:paraId="2D37891F" w14:textId="76DCF15E"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t>lub wyjaśnienie jaki rodzaj wkładek należy przewidzieć w przełącznikach rdzeniowych</w:t>
      </w:r>
      <w:r>
        <w:rPr>
          <w:rFonts w:ascii="Palatino Linotype" w:hAnsi="Palatino Linotype" w:cs="Tahoma"/>
          <w:sz w:val="22"/>
          <w:szCs w:val="22"/>
        </w:rPr>
        <w:t>.</w:t>
      </w:r>
    </w:p>
    <w:p w14:paraId="34B3FA22"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73984D35" w14:textId="77777777" w:rsidR="007833D6" w:rsidRPr="00F268A6" w:rsidRDefault="007833D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Zamawiający potwierdza powyższe rozumowanie – rezultatem ma być przełącznik z 24 wkładkami. </w:t>
      </w:r>
    </w:p>
    <w:p w14:paraId="778FAED5"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5E332254" w14:textId="77777777" w:rsidR="007E4EAA"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1524AA5C" w14:textId="3CB87C4E"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t xml:space="preserve">4.2.4      Zgodnie z opisem w p. 4.2.4 każdy z routerów BGP powinien posiadać 2 porty 10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Tymczasem specyfikacja w tabelkach wymaga tylko jednego aktywnego portu 10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Proszę o potwierdzenie, że wymagane są dwa aktywne porty 10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w każdym z routerów BGP, a urządzenie powinno posiadać licencje na dwa aktywne porty 10 </w:t>
      </w:r>
      <w:proofErr w:type="spellStart"/>
      <w:r w:rsidRPr="007E4EAA">
        <w:rPr>
          <w:rFonts w:ascii="Palatino Linotype" w:hAnsi="Palatino Linotype" w:cs="Tahoma"/>
          <w:sz w:val="22"/>
          <w:szCs w:val="22"/>
        </w:rPr>
        <w:t>Gbps</w:t>
      </w:r>
      <w:proofErr w:type="spellEnd"/>
      <w:r>
        <w:rPr>
          <w:rFonts w:ascii="Palatino Linotype" w:hAnsi="Palatino Linotype" w:cs="Tahoma"/>
          <w:sz w:val="22"/>
          <w:szCs w:val="22"/>
        </w:rPr>
        <w:t>.</w:t>
      </w:r>
    </w:p>
    <w:p w14:paraId="6E7DFFE2"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A341F91" w14:textId="113014C5" w:rsidR="00F268A6" w:rsidRPr="00F268A6" w:rsidRDefault="00F268A6" w:rsidP="00F268A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Routery BGP powinny być połączony w sposób zapewniający redundancje w przypadku pojedynczego punktu awarii (4.2.4 Routery BGP). Specyfikacja w tabelkach jest co do zasady specyfikacją minimalną. Nie mniej jednak Zamawiający modyfikuje OPZ </w:t>
      </w:r>
      <w:r w:rsidR="46F6C662" w:rsidRPr="3DFD1CFE">
        <w:rPr>
          <w:rFonts w:ascii="Palatino Linotype" w:hAnsi="Palatino Linotype" w:cs="Tahoma"/>
          <w:sz w:val="22"/>
          <w:szCs w:val="22"/>
        </w:rPr>
        <w:t xml:space="preserve">rozdział </w:t>
      </w:r>
      <w:r w:rsidRPr="3DFD1CFE">
        <w:rPr>
          <w:rFonts w:ascii="Palatino Linotype" w:hAnsi="Palatino Linotype" w:cs="Tahoma"/>
          <w:sz w:val="22"/>
          <w:szCs w:val="22"/>
        </w:rPr>
        <w:t xml:space="preserve"> 5.9 Routery BGP punkt 1 w tym zakresie.  </w:t>
      </w:r>
    </w:p>
    <w:p w14:paraId="72CE8592"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77E737A2" w14:textId="77777777" w:rsidR="007E4EAA"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0C85979A" w14:textId="61D9DFCD"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t>4.2.4      "6 szt. per urządzenie, należy je wyposażyć w min. 6 wkładek LRM (</w:t>
      </w:r>
      <w:proofErr w:type="spellStart"/>
      <w:r w:rsidRPr="007E4EAA">
        <w:rPr>
          <w:rFonts w:ascii="Palatino Linotype" w:hAnsi="Palatino Linotype" w:cs="Tahoma"/>
          <w:sz w:val="22"/>
          <w:szCs w:val="22"/>
        </w:rPr>
        <w:t>combo</w:t>
      </w:r>
      <w:proofErr w:type="spellEnd"/>
      <w:r w:rsidRPr="007E4EAA">
        <w:rPr>
          <w:rFonts w:ascii="Palatino Linotype" w:hAnsi="Palatino Linotype" w:cs="Tahoma"/>
          <w:sz w:val="22"/>
          <w:szCs w:val="22"/>
        </w:rPr>
        <w:t xml:space="preserve">)." - Wkładki LRM są przeznaczone do pracy na starych kablach światłowodowych OM1, OM2. Zostały one wycofane ze sprzedaży przez wielu wiodących producentów. Jeżeli operatorzy będą podłączani bezpośrednio do routera, czy nie lepiej byłoby przewidzieć jeden z poniższych rodzajów wkładek: 1000BASE-LX/LH, 1000BASE-EX, 1000BASE-ZX? Proszę o wskazanie typów i ilości wkładek 1 </w:t>
      </w:r>
      <w:proofErr w:type="spellStart"/>
      <w:r w:rsidRPr="007E4EAA">
        <w:rPr>
          <w:rFonts w:ascii="Palatino Linotype" w:hAnsi="Palatino Linotype" w:cs="Tahoma"/>
          <w:sz w:val="22"/>
          <w:szCs w:val="22"/>
        </w:rPr>
        <w:t>Gbps</w:t>
      </w:r>
      <w:proofErr w:type="spellEnd"/>
      <w:r w:rsidRPr="007E4EAA">
        <w:rPr>
          <w:rFonts w:ascii="Palatino Linotype" w:hAnsi="Palatino Linotype" w:cs="Tahoma"/>
          <w:sz w:val="22"/>
          <w:szCs w:val="22"/>
        </w:rPr>
        <w:t xml:space="preserve"> do łączności z operatorami</w:t>
      </w:r>
      <w:r>
        <w:rPr>
          <w:rFonts w:ascii="Palatino Linotype" w:hAnsi="Palatino Linotype" w:cs="Tahoma"/>
          <w:sz w:val="22"/>
          <w:szCs w:val="22"/>
        </w:rPr>
        <w:t>.</w:t>
      </w:r>
    </w:p>
    <w:p w14:paraId="4C56D675"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7FC78E9" w14:textId="77777777" w:rsidR="00F268A6" w:rsidRPr="00F268A6" w:rsidRDefault="00F268A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Zamawiający dopuszcza zastosowanie wkładek: 1000BASE-LX/LH, 1000BASE-EX, 1000BASE-ZX. Dokładny rodzaj wkładek będzie ustalony na etapie tworzenia dokumentacji przedwdrożeniowej. Dodatkowo Zamawiający pragnie zaznaczyć, że umożliwił wizję lokalną w celu zapoznania się z istniejącym wyposażeniem pomieszczeń serwerowych.  </w:t>
      </w:r>
    </w:p>
    <w:p w14:paraId="3A6E33C0"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30C42025" w14:textId="77777777" w:rsidR="007E4EAA"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5DEC4260"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 xml:space="preserve">5.9 Routery BGP </w:t>
      </w:r>
    </w:p>
    <w:p w14:paraId="7E6BA20C" w14:textId="529DADC9"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lastRenderedPageBreak/>
        <w:t>Jeżeli producent przewiduje na niektóre funkcjonalności licencje typu subskrypcyjnego, na jaki okres należy przewidzieć subskrypcje</w:t>
      </w:r>
      <w:r>
        <w:rPr>
          <w:rFonts w:ascii="Palatino Linotype" w:hAnsi="Palatino Linotype" w:cs="Tahoma"/>
          <w:sz w:val="22"/>
          <w:szCs w:val="22"/>
        </w:rPr>
        <w:t>?</w:t>
      </w:r>
    </w:p>
    <w:p w14:paraId="2823D912"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72046DD" w14:textId="77777777" w:rsidR="00F268A6" w:rsidRPr="00F268A6" w:rsidRDefault="00F268A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Zamawiający wymaga dostarczenia subskrypcji na min 36 miesięcy.  </w:t>
      </w:r>
    </w:p>
    <w:p w14:paraId="024B54F2"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1F0678E2" w14:textId="77777777" w:rsidR="007E4EAA"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6CC9B1F9" w14:textId="77777777" w:rsidR="007E4EAA" w:rsidRPr="007E4EAA" w:rsidRDefault="007E4EAA" w:rsidP="007E4EAA">
      <w:pPr>
        <w:pStyle w:val="Akapitzlist"/>
        <w:spacing w:after="60" w:line="276" w:lineRule="auto"/>
        <w:ind w:left="851"/>
        <w:jc w:val="both"/>
        <w:rPr>
          <w:rFonts w:ascii="Palatino Linotype" w:hAnsi="Palatino Linotype" w:cs="Tahoma"/>
          <w:sz w:val="22"/>
          <w:szCs w:val="22"/>
        </w:rPr>
      </w:pPr>
      <w:r w:rsidRPr="007E4EAA">
        <w:rPr>
          <w:rFonts w:ascii="Palatino Linotype" w:hAnsi="Palatino Linotype" w:cs="Tahoma"/>
          <w:sz w:val="22"/>
          <w:szCs w:val="22"/>
        </w:rPr>
        <w:t>Opis p. 4.2.4 routery BGP:</w:t>
      </w:r>
    </w:p>
    <w:p w14:paraId="0620D8C1" w14:textId="514DDB59"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t>Zamawiający napisał: „Urządzenia mają działać w HA lub klastrze”. Czy należy przez to rozumieć, że routery mają pracować redundantnie zapewniając transmisję ruchu w przypadku awarii jednego z nich</w:t>
      </w:r>
      <w:r>
        <w:rPr>
          <w:rFonts w:ascii="Palatino Linotype" w:hAnsi="Palatino Linotype" w:cs="Tahoma"/>
          <w:sz w:val="22"/>
          <w:szCs w:val="22"/>
        </w:rPr>
        <w:t>?</w:t>
      </w:r>
    </w:p>
    <w:p w14:paraId="0E2A79C7"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4037A40E" w14:textId="6A014FFA" w:rsidR="00F268A6" w:rsidRPr="00F268A6" w:rsidRDefault="00F268A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Tak. Zamawiający potwierdza powyższe rozumowanie. Należy zastosować architekturę odporną na awarie pojedynczego elementu (urządzenia, połączenia, wkładki) </w:t>
      </w:r>
    </w:p>
    <w:p w14:paraId="0E8E8676"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32E4CA1D" w14:textId="6691B8D6" w:rsidR="007E4EAA" w:rsidRPr="007E4EAA" w:rsidRDefault="007E4EAA" w:rsidP="007E4EAA">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20.04.2021 r. – pismo 1:</w:t>
      </w:r>
    </w:p>
    <w:p w14:paraId="7F6CDC74" w14:textId="3F63E8F3" w:rsidR="007E4EAA"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7E4EAA">
        <w:rPr>
          <w:rFonts w:ascii="Palatino Linotype" w:hAnsi="Palatino Linotype" w:cs="Tahoma"/>
          <w:b/>
          <w:bCs/>
          <w:sz w:val="22"/>
          <w:szCs w:val="22"/>
        </w:rPr>
        <w:t>Pytanie:</w:t>
      </w:r>
    </w:p>
    <w:p w14:paraId="76EC78B5" w14:textId="3955A287" w:rsidR="007E4EAA" w:rsidRDefault="007E4EAA" w:rsidP="007E4EAA">
      <w:pPr>
        <w:pStyle w:val="Akapitzlist"/>
        <w:spacing w:after="60" w:line="276" w:lineRule="auto"/>
        <w:ind w:left="851"/>
        <w:contextualSpacing w:val="0"/>
        <w:jc w:val="both"/>
        <w:rPr>
          <w:rFonts w:ascii="Palatino Linotype" w:hAnsi="Palatino Linotype" w:cs="Tahoma"/>
          <w:sz w:val="22"/>
          <w:szCs w:val="22"/>
        </w:rPr>
      </w:pPr>
      <w:r w:rsidRPr="007E4EAA">
        <w:rPr>
          <w:rFonts w:ascii="Palatino Linotype" w:hAnsi="Palatino Linotype" w:cs="Tahoma"/>
          <w:sz w:val="22"/>
          <w:szCs w:val="22"/>
        </w:rPr>
        <w:t xml:space="preserve">Zamawiający wymaga co najmniej 1 inżyniera posiadającego wiedzę i kompetencje w zakresie konfiguracji dostarczanych przełączników SAN oraz posiadający aktualny (ważny) certyfikat na najwyższym poziomie certyfikacji według ścieżki egzaminacyjnej producenta oferowanego rozwiązania. Czy Zamawiający uzna za spełnione wymaganie jeśli wykonawca zapewni osobę posiadającą certyfikat na poziomie Cisco </w:t>
      </w:r>
      <w:proofErr w:type="spellStart"/>
      <w:r w:rsidRPr="007E4EAA">
        <w:rPr>
          <w:rFonts w:ascii="Palatino Linotype" w:hAnsi="Palatino Linotype" w:cs="Tahoma"/>
          <w:sz w:val="22"/>
          <w:szCs w:val="22"/>
        </w:rPr>
        <w:t>Certified</w:t>
      </w:r>
      <w:proofErr w:type="spellEnd"/>
      <w:r w:rsidRPr="007E4EAA">
        <w:rPr>
          <w:rFonts w:ascii="Palatino Linotype" w:hAnsi="Palatino Linotype" w:cs="Tahoma"/>
          <w:sz w:val="22"/>
          <w:szCs w:val="22"/>
        </w:rPr>
        <w:t xml:space="preserve"> Network Professional Data Center, który jest jednym z najwyższych certyfikatów producenta firmy Cisco Systems oraz jego posiadanie gwarantuje wiedzę i kompetencje w zakresie konfiguracji urządzeń tego producenta?</w:t>
      </w:r>
    </w:p>
    <w:p w14:paraId="7C20AD52" w14:textId="77777777" w:rsidR="007E4EAA" w:rsidRDefault="007E4EAA" w:rsidP="007E4EAA">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2D52F946" w14:textId="77777777" w:rsidR="00F268A6" w:rsidRPr="00F268A6" w:rsidRDefault="00F268A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 xml:space="preserve">Zamawiający uzna Cisco </w:t>
      </w:r>
      <w:proofErr w:type="spellStart"/>
      <w:r w:rsidRPr="00F268A6">
        <w:rPr>
          <w:rFonts w:ascii="Palatino Linotype" w:hAnsi="Palatino Linotype" w:cs="Tahoma"/>
          <w:sz w:val="22"/>
          <w:szCs w:val="22"/>
        </w:rPr>
        <w:t>Certified</w:t>
      </w:r>
      <w:proofErr w:type="spellEnd"/>
      <w:r w:rsidRPr="00F268A6">
        <w:rPr>
          <w:rFonts w:ascii="Palatino Linotype" w:hAnsi="Palatino Linotype" w:cs="Tahoma"/>
          <w:sz w:val="22"/>
          <w:szCs w:val="22"/>
        </w:rPr>
        <w:t xml:space="preserve"> Network Professional Data Center za certyfikat poświadczający posiadanie wystarczającej wiedzy i kompetencji z zakresu przełączników SAN.  </w:t>
      </w:r>
    </w:p>
    <w:p w14:paraId="0CA6264B" w14:textId="77777777" w:rsidR="007E4EAA" w:rsidRDefault="007E4EAA" w:rsidP="007E4EAA">
      <w:pPr>
        <w:pStyle w:val="Akapitzlist"/>
        <w:spacing w:after="120" w:line="276" w:lineRule="auto"/>
        <w:ind w:left="851"/>
        <w:contextualSpacing w:val="0"/>
        <w:jc w:val="both"/>
        <w:rPr>
          <w:rFonts w:ascii="Palatino Linotype" w:hAnsi="Palatino Linotype" w:cs="Tahoma"/>
          <w:b/>
          <w:bCs/>
          <w:sz w:val="22"/>
          <w:szCs w:val="22"/>
        </w:rPr>
      </w:pPr>
    </w:p>
    <w:p w14:paraId="5D17B654" w14:textId="7FAA23D4" w:rsidR="007E4EAA" w:rsidRPr="007E4EAA" w:rsidRDefault="007E4EAA" w:rsidP="007E4EAA">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20.04.2021 r. – pismo 2:</w:t>
      </w:r>
    </w:p>
    <w:p w14:paraId="2548DC4D" w14:textId="4F9EFBDF" w:rsidR="007E4EAA" w:rsidRPr="00023304" w:rsidRDefault="007E4EAA" w:rsidP="007E4EAA">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sidRPr="007E4EAA">
        <w:rPr>
          <w:rFonts w:ascii="Palatino Linotype" w:hAnsi="Palatino Linotype" w:cs="Tahoma"/>
          <w:b/>
          <w:bCs/>
          <w:sz w:val="22"/>
          <w:szCs w:val="22"/>
        </w:rPr>
        <w:t>Pytanie</w:t>
      </w:r>
      <w:r>
        <w:rPr>
          <w:rFonts w:ascii="Palatino Linotype" w:hAnsi="Palatino Linotype" w:cs="Tahoma"/>
          <w:b/>
          <w:bCs/>
          <w:sz w:val="22"/>
          <w:szCs w:val="22"/>
        </w:rPr>
        <w:t>:</w:t>
      </w:r>
    </w:p>
    <w:p w14:paraId="213183D0" w14:textId="302B704F" w:rsidR="00023304" w:rsidRDefault="00023304" w:rsidP="00023304">
      <w:pPr>
        <w:pStyle w:val="Akapitzlist"/>
        <w:spacing w:after="60" w:line="276" w:lineRule="auto"/>
        <w:ind w:left="851"/>
        <w:contextualSpacing w:val="0"/>
        <w:jc w:val="both"/>
        <w:rPr>
          <w:rFonts w:ascii="Palatino Linotype" w:hAnsi="Palatino Linotype" w:cs="Tahoma"/>
          <w:sz w:val="22"/>
          <w:szCs w:val="22"/>
        </w:rPr>
      </w:pPr>
      <w:r w:rsidRPr="00023304">
        <w:rPr>
          <w:rFonts w:ascii="Palatino Linotype" w:hAnsi="Palatino Linotype" w:cs="Tahoma"/>
          <w:sz w:val="22"/>
          <w:szCs w:val="22"/>
        </w:rPr>
        <w:t>SWZ Rozdział 4 Prosimy o podanie informacji czy Zamawiający dopuszcza aby przedmiotowe środki dowodowe np. wydruki ze stron, deklaracje CE, karty katalogowe i inne dokumenty producenta sprzętu wymagane do złożenia wraz z ofertą wskazane w rozdziale 4 były dostarczone wyłącznie w języku angielskim jeśli producent nie posiada wersji polskie?</w:t>
      </w:r>
    </w:p>
    <w:p w14:paraId="2011A7D8" w14:textId="77777777" w:rsidR="00023304" w:rsidRDefault="00023304" w:rsidP="00023304">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5EDACBB" w14:textId="1346D13C" w:rsidR="007B3E85" w:rsidRDefault="007B3E85" w:rsidP="00F268A6">
      <w:pPr>
        <w:pStyle w:val="Akapitzlist"/>
        <w:spacing w:after="120" w:line="276" w:lineRule="auto"/>
        <w:ind w:left="851"/>
        <w:contextualSpacing w:val="0"/>
        <w:jc w:val="both"/>
        <w:rPr>
          <w:rFonts w:ascii="Palatino Linotype" w:hAnsi="Palatino Linotype" w:cs="Tahoma"/>
          <w:sz w:val="22"/>
          <w:szCs w:val="22"/>
        </w:rPr>
      </w:pPr>
      <w:r>
        <w:rPr>
          <w:rFonts w:ascii="Palatino Linotype" w:hAnsi="Palatino Linotype" w:cs="Tahoma"/>
          <w:sz w:val="22"/>
          <w:szCs w:val="22"/>
        </w:rPr>
        <w:lastRenderedPageBreak/>
        <w:t>Zgodnie z art. 20 ust. 2 Prawa zamówień publicznych p</w:t>
      </w:r>
      <w:r w:rsidRPr="007B3E85">
        <w:rPr>
          <w:rFonts w:ascii="Palatino Linotype" w:hAnsi="Palatino Linotype" w:cs="Tahoma"/>
          <w:sz w:val="22"/>
          <w:szCs w:val="22"/>
        </w:rPr>
        <w:t>ostępowanie o udzielenie zamówienia prowadzi się w języku polskim</w:t>
      </w:r>
      <w:r>
        <w:rPr>
          <w:rFonts w:ascii="Palatino Linotype" w:hAnsi="Palatino Linotype" w:cs="Tahoma"/>
          <w:sz w:val="22"/>
          <w:szCs w:val="22"/>
        </w:rPr>
        <w:t>. W związku z powyższym Zamawiający nie dopuszcza przedmiotowych środków dowodowych w języku innym niż polski.</w:t>
      </w:r>
    </w:p>
    <w:p w14:paraId="6060C5B6" w14:textId="77777777" w:rsidR="00023304" w:rsidRDefault="00023304" w:rsidP="00023304">
      <w:pPr>
        <w:pStyle w:val="Akapitzlist"/>
        <w:spacing w:after="120" w:line="276" w:lineRule="auto"/>
        <w:ind w:left="851"/>
        <w:contextualSpacing w:val="0"/>
        <w:jc w:val="both"/>
        <w:rPr>
          <w:rFonts w:ascii="Palatino Linotype" w:hAnsi="Palatino Linotype" w:cs="Tahoma"/>
          <w:b/>
          <w:bCs/>
          <w:sz w:val="22"/>
          <w:szCs w:val="22"/>
        </w:rPr>
      </w:pPr>
    </w:p>
    <w:p w14:paraId="7B8DB274" w14:textId="77777777" w:rsidR="00023304"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0D804950" w14:textId="487C9A8A" w:rsidR="00023304" w:rsidRDefault="00023304" w:rsidP="00023304">
      <w:pPr>
        <w:pStyle w:val="Akapitzlist"/>
        <w:spacing w:after="60" w:line="276" w:lineRule="auto"/>
        <w:ind w:left="851"/>
        <w:contextualSpacing w:val="0"/>
        <w:jc w:val="both"/>
        <w:rPr>
          <w:rFonts w:ascii="Palatino Linotype" w:hAnsi="Palatino Linotype" w:cs="Tahoma"/>
          <w:sz w:val="22"/>
          <w:szCs w:val="22"/>
        </w:rPr>
      </w:pPr>
      <w:r w:rsidRPr="00023304">
        <w:rPr>
          <w:rFonts w:ascii="Palatino Linotype" w:hAnsi="Palatino Linotype" w:cs="Tahoma"/>
          <w:sz w:val="22"/>
          <w:szCs w:val="22"/>
        </w:rPr>
        <w:t>SWZ Rozdział 17 oraz Umowa § 8 ust. 2 W związku z tym iż Zamawiający nie ma obowiązku skorzystania z prawa opcji prosimy o podanie informacji dlaczego zabezpieczanie dobrego wykonania umowy ma zostać wniesione od wartości wynagrodzenia brutto wraz z prawem opcji? Wykonawca wskazuje, iż Zamawiający może nie skorzystać z prawa opcji w terminie obowiązywania zabezpieczenia co powoduje iż Wykonawca wnosi zabezpieczenie w kwocie większej niż wymagane</w:t>
      </w:r>
      <w:r>
        <w:rPr>
          <w:rFonts w:ascii="Palatino Linotype" w:hAnsi="Palatino Linotype" w:cs="Tahoma"/>
          <w:sz w:val="22"/>
          <w:szCs w:val="22"/>
        </w:rPr>
        <w:t>.</w:t>
      </w:r>
    </w:p>
    <w:p w14:paraId="1D3313D6" w14:textId="77777777" w:rsidR="00023304" w:rsidRDefault="00023304" w:rsidP="00023304">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22BF8E27" w14:textId="70A19B9D" w:rsidR="00F268A6" w:rsidRPr="0003655A" w:rsidRDefault="3FE1A22F" w:rsidP="0003655A">
      <w:pPr>
        <w:pStyle w:val="Akapitzlist"/>
        <w:spacing w:after="60" w:line="276" w:lineRule="auto"/>
        <w:ind w:left="851"/>
        <w:jc w:val="both"/>
        <w:rPr>
          <w:rFonts w:ascii="Palatino Linotype" w:hAnsi="Palatino Linotype" w:cs="Tahoma"/>
          <w:sz w:val="22"/>
          <w:szCs w:val="22"/>
        </w:rPr>
      </w:pPr>
      <w:r w:rsidRPr="3DFD1CFE">
        <w:rPr>
          <w:rFonts w:ascii="Palatino Linotype" w:eastAsia="Palatino Linotype" w:hAnsi="Palatino Linotype" w:cs="Palatino Linotype"/>
          <w:b/>
          <w:bCs/>
          <w:color w:val="385623" w:themeColor="accent6" w:themeShade="80"/>
          <w:sz w:val="22"/>
          <w:szCs w:val="22"/>
        </w:rPr>
        <w:t xml:space="preserve"> Z</w:t>
      </w:r>
      <w:r w:rsidRPr="0003655A">
        <w:rPr>
          <w:rFonts w:ascii="Palatino Linotype" w:hAnsi="Palatino Linotype" w:cs="Tahoma"/>
          <w:sz w:val="22"/>
          <w:szCs w:val="22"/>
        </w:rPr>
        <w:t>amawiający zmienia treść pkt. 17.3 SWZ w ten sposób, że otrzymuje on brzmienie:</w:t>
      </w:r>
    </w:p>
    <w:p w14:paraId="5D74523C" w14:textId="205597AB" w:rsidR="3FE1A22F" w:rsidRPr="0003655A" w:rsidRDefault="3FE1A22F" w:rsidP="0003655A">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Zamawiający żąda od Wykonawcy zabezpieczenia należytego wykonania umowy, zwanego dalej „zabezpieczeniem” w wysokości 5% wartości wynagrodzenia brutto, o którym mowa w § 7 ust. 1 wzoru umowy. W przypadku skorzystania przez Zamawiającego z prawa opcji wykonawca zobowiązany jest wnieść zabezpieczenie należytego wykonania umowy w wysokości 5% wartości realizowanego prawa opcji.</w:t>
      </w:r>
    </w:p>
    <w:p w14:paraId="5A02C348" w14:textId="73FCA3EE" w:rsidR="3FE1A22F" w:rsidRPr="0003655A" w:rsidRDefault="3FE1A22F" w:rsidP="0003655A">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Zamawiający zmienia treść § 8 ust. 2 wzoru umowy w ten sposób, że otrzymuje on brzmienie:</w:t>
      </w:r>
    </w:p>
    <w:p w14:paraId="09B854D3" w14:textId="2D45E160" w:rsidR="3FE1A22F" w:rsidRPr="0003655A" w:rsidRDefault="3FE1A22F" w:rsidP="0003655A">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Wykonawca przed zawarciem Umowy dostarczył Zamawiającemu Zabezpieczenie na kwotę 5 % wynagrodzenia brutto, o którym mowa w § 7 ust. 1, tj. kwotę: …………………. zł, (słownie: ……………………. złotych 00/100) na okres zgodny z postanowieniami Umowy, w formie …………………….. W przypadku wniesienia Zabezpieczenia w sposób inny niż gotówka, Wykonawca zobowiązany jest do uzyskania uprzedniej zgody Zamawiającego co do treści tego zabezpieczenia. W przypadku skorzystania przez Zamawiającego z prawa opcji wykonawca zobowiązany jest wnieść zabezpieczenie należytego wykonania umowy w wysokości 5% wartości realizowanego prawa opcji.</w:t>
      </w:r>
    </w:p>
    <w:p w14:paraId="171EB3A3" w14:textId="185D69CA" w:rsidR="3DFD1CFE" w:rsidRDefault="3DFD1CFE" w:rsidP="3DFD1CFE">
      <w:pPr>
        <w:pStyle w:val="Akapitzlist"/>
        <w:spacing w:after="120" w:line="276" w:lineRule="auto"/>
        <w:ind w:left="851"/>
        <w:jc w:val="both"/>
        <w:rPr>
          <w:rFonts w:ascii="Palatino Linotype" w:hAnsi="Palatino Linotype" w:cs="Tahoma"/>
          <w:b/>
          <w:bCs/>
          <w:sz w:val="22"/>
          <w:szCs w:val="22"/>
          <w:highlight w:val="yellow"/>
        </w:rPr>
      </w:pPr>
    </w:p>
    <w:p w14:paraId="719790E8" w14:textId="77777777" w:rsidR="00023304"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t>Pytanie:</w:t>
      </w:r>
    </w:p>
    <w:p w14:paraId="6F4178EC" w14:textId="05FD1895" w:rsidR="00023304" w:rsidRDefault="00023304" w:rsidP="00023304">
      <w:pPr>
        <w:pStyle w:val="Akapitzlist"/>
        <w:spacing w:after="60" w:line="276" w:lineRule="auto"/>
        <w:ind w:left="851"/>
        <w:contextualSpacing w:val="0"/>
        <w:jc w:val="both"/>
        <w:rPr>
          <w:rFonts w:ascii="Palatino Linotype" w:hAnsi="Palatino Linotype" w:cs="Tahoma"/>
          <w:sz w:val="22"/>
          <w:szCs w:val="22"/>
        </w:rPr>
      </w:pPr>
      <w:r w:rsidRPr="00023304">
        <w:rPr>
          <w:rFonts w:ascii="Palatino Linotype" w:hAnsi="Palatino Linotype" w:cs="Tahoma"/>
          <w:sz w:val="22"/>
          <w:szCs w:val="22"/>
        </w:rPr>
        <w:t>SWZ Rozdział 17 ust. 17.8 Prosimy o podanie maksymalnego czasu akceptacji zabezpieczenia dobrego wykonania umowy wykonawczej w formie gwarancji bankowej</w:t>
      </w:r>
      <w:r>
        <w:rPr>
          <w:rFonts w:ascii="Palatino Linotype" w:hAnsi="Palatino Linotype" w:cs="Tahoma"/>
          <w:sz w:val="22"/>
          <w:szCs w:val="22"/>
        </w:rPr>
        <w:t>?</w:t>
      </w:r>
    </w:p>
    <w:p w14:paraId="53A48EE7" w14:textId="77777777" w:rsidR="00023304" w:rsidRDefault="00023304" w:rsidP="00023304">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6726128" w14:textId="00056134" w:rsidR="00F268A6" w:rsidRDefault="50198BBB" w:rsidP="0003655A">
      <w:pPr>
        <w:pStyle w:val="Akapitzlist"/>
        <w:spacing w:after="60" w:line="276" w:lineRule="auto"/>
        <w:ind w:left="851"/>
        <w:jc w:val="both"/>
        <w:rPr>
          <w:rFonts w:ascii="Palatino Linotype" w:eastAsia="Palatino Linotype" w:hAnsi="Palatino Linotype" w:cs="Palatino Linotype"/>
          <w:b/>
          <w:bCs/>
          <w:color w:val="385623" w:themeColor="accent6" w:themeShade="80"/>
          <w:sz w:val="22"/>
          <w:szCs w:val="22"/>
        </w:rPr>
      </w:pPr>
      <w:r w:rsidRPr="3DFD1CFE">
        <w:rPr>
          <w:rFonts w:ascii="Palatino Linotype" w:eastAsia="Palatino Linotype" w:hAnsi="Palatino Linotype" w:cs="Palatino Linotype"/>
          <w:b/>
          <w:bCs/>
          <w:color w:val="385623" w:themeColor="accent6" w:themeShade="80"/>
          <w:sz w:val="22"/>
          <w:szCs w:val="22"/>
        </w:rPr>
        <w:t xml:space="preserve"> </w:t>
      </w:r>
      <w:r w:rsidRPr="0003655A">
        <w:rPr>
          <w:rFonts w:ascii="Palatino Linotype" w:hAnsi="Palatino Linotype" w:cs="Tahoma"/>
          <w:sz w:val="22"/>
          <w:szCs w:val="22"/>
        </w:rPr>
        <w:t>Zamawiający</w:t>
      </w:r>
      <w:r w:rsidRPr="0003655A">
        <w:rPr>
          <w:rFonts w:ascii="Palatino Linotype" w:eastAsia="Palatino Linotype" w:hAnsi="Palatino Linotype" w:cs="Palatino Linotype"/>
          <w:color w:val="385623" w:themeColor="accent6" w:themeShade="80"/>
          <w:sz w:val="22"/>
          <w:szCs w:val="22"/>
        </w:rPr>
        <w:t xml:space="preserve"> wskazuje, że </w:t>
      </w:r>
      <w:r w:rsidRPr="3DFD1CFE">
        <w:rPr>
          <w:rFonts w:ascii="Palatino Linotype" w:eastAsia="Palatino Linotype" w:hAnsi="Palatino Linotype" w:cs="Palatino Linotype"/>
          <w:color w:val="385623" w:themeColor="accent6" w:themeShade="80"/>
          <w:sz w:val="22"/>
          <w:szCs w:val="22"/>
        </w:rPr>
        <w:t xml:space="preserve">przedstawi swoje stanowisko </w:t>
      </w:r>
      <w:r w:rsidR="5D5BF835" w:rsidRPr="3DFD1CFE">
        <w:rPr>
          <w:rFonts w:ascii="Palatino Linotype" w:eastAsia="Palatino Linotype" w:hAnsi="Palatino Linotype" w:cs="Palatino Linotype"/>
          <w:color w:val="385623" w:themeColor="accent6" w:themeShade="80"/>
          <w:sz w:val="22"/>
          <w:szCs w:val="22"/>
        </w:rPr>
        <w:t>w sprawie</w:t>
      </w:r>
      <w:r w:rsidR="232303AE" w:rsidRPr="3DFD1CFE">
        <w:rPr>
          <w:rFonts w:ascii="Palatino Linotype" w:eastAsia="Palatino Linotype" w:hAnsi="Palatino Linotype" w:cs="Palatino Linotype"/>
          <w:color w:val="385623" w:themeColor="accent6" w:themeShade="80"/>
          <w:sz w:val="22"/>
          <w:szCs w:val="22"/>
        </w:rPr>
        <w:t xml:space="preserve"> treści projektu </w:t>
      </w:r>
      <w:r w:rsidRPr="0003655A">
        <w:rPr>
          <w:rFonts w:ascii="Palatino Linotype" w:eastAsia="Palatino Linotype" w:hAnsi="Palatino Linotype" w:cs="Palatino Linotype"/>
          <w:color w:val="385623" w:themeColor="accent6" w:themeShade="80"/>
          <w:sz w:val="22"/>
          <w:szCs w:val="22"/>
        </w:rPr>
        <w:t>zabezpieczeni</w:t>
      </w:r>
      <w:r w:rsidR="52D6F1B6" w:rsidRPr="3DFD1CFE">
        <w:rPr>
          <w:rFonts w:ascii="Palatino Linotype" w:eastAsia="Palatino Linotype" w:hAnsi="Palatino Linotype" w:cs="Palatino Linotype"/>
          <w:color w:val="385623" w:themeColor="accent6" w:themeShade="80"/>
          <w:sz w:val="22"/>
          <w:szCs w:val="22"/>
        </w:rPr>
        <w:t xml:space="preserve">a </w:t>
      </w:r>
      <w:r w:rsidR="002C173D">
        <w:rPr>
          <w:rFonts w:ascii="Palatino Linotype" w:eastAsia="Palatino Linotype" w:hAnsi="Palatino Linotype" w:cs="Palatino Linotype"/>
          <w:color w:val="385623" w:themeColor="accent6" w:themeShade="80"/>
          <w:sz w:val="22"/>
          <w:szCs w:val="22"/>
        </w:rPr>
        <w:t xml:space="preserve">należytego wykonania </w:t>
      </w:r>
      <w:r w:rsidR="52D6F1B6" w:rsidRPr="3DFD1CFE">
        <w:rPr>
          <w:rFonts w:ascii="Palatino Linotype" w:eastAsia="Palatino Linotype" w:hAnsi="Palatino Linotype" w:cs="Palatino Linotype"/>
          <w:color w:val="385623" w:themeColor="accent6" w:themeShade="80"/>
          <w:sz w:val="22"/>
          <w:szCs w:val="22"/>
        </w:rPr>
        <w:t>umowy</w:t>
      </w:r>
      <w:r w:rsidRPr="0003655A">
        <w:rPr>
          <w:rFonts w:ascii="Palatino Linotype" w:eastAsia="Palatino Linotype" w:hAnsi="Palatino Linotype" w:cs="Palatino Linotype"/>
          <w:color w:val="385623" w:themeColor="accent6" w:themeShade="80"/>
          <w:sz w:val="22"/>
          <w:szCs w:val="22"/>
        </w:rPr>
        <w:t xml:space="preserve"> w czasie </w:t>
      </w:r>
      <w:r w:rsidRPr="3DFD1CFE">
        <w:rPr>
          <w:rFonts w:ascii="Palatino Linotype" w:eastAsia="Palatino Linotype" w:hAnsi="Palatino Linotype" w:cs="Palatino Linotype"/>
          <w:color w:val="385623" w:themeColor="accent6" w:themeShade="80"/>
          <w:sz w:val="22"/>
          <w:szCs w:val="22"/>
        </w:rPr>
        <w:t>7</w:t>
      </w:r>
      <w:r w:rsidRPr="0003655A">
        <w:rPr>
          <w:rFonts w:ascii="Palatino Linotype" w:eastAsia="Palatino Linotype" w:hAnsi="Palatino Linotype" w:cs="Palatino Linotype"/>
          <w:color w:val="385623" w:themeColor="accent6" w:themeShade="80"/>
          <w:sz w:val="22"/>
          <w:szCs w:val="22"/>
        </w:rPr>
        <w:t xml:space="preserve"> dni</w:t>
      </w:r>
      <w:r w:rsidR="002C173D">
        <w:rPr>
          <w:rFonts w:ascii="Palatino Linotype" w:eastAsia="Palatino Linotype" w:hAnsi="Palatino Linotype" w:cs="Palatino Linotype"/>
          <w:color w:val="385623" w:themeColor="accent6" w:themeShade="80"/>
          <w:sz w:val="22"/>
          <w:szCs w:val="22"/>
        </w:rPr>
        <w:t xml:space="preserve"> od otrzymania dokumentu</w:t>
      </w:r>
      <w:r w:rsidRPr="0003655A">
        <w:rPr>
          <w:rFonts w:ascii="Palatino Linotype" w:eastAsia="Palatino Linotype" w:hAnsi="Palatino Linotype" w:cs="Palatino Linotype"/>
          <w:color w:val="385623" w:themeColor="accent6" w:themeShade="80"/>
          <w:sz w:val="22"/>
          <w:szCs w:val="22"/>
        </w:rPr>
        <w:t>.</w:t>
      </w:r>
    </w:p>
    <w:p w14:paraId="57B0F526" w14:textId="17DDE234" w:rsidR="50198BBB" w:rsidRDefault="50198BBB">
      <w:r>
        <w:br/>
      </w:r>
    </w:p>
    <w:p w14:paraId="0D9E5664" w14:textId="6A1FF329" w:rsidR="3DFD1CFE" w:rsidRDefault="3DFD1CFE" w:rsidP="3DFD1CFE">
      <w:pPr>
        <w:pStyle w:val="Akapitzlist"/>
        <w:spacing w:after="120" w:line="276" w:lineRule="auto"/>
        <w:ind w:left="851"/>
        <w:jc w:val="both"/>
        <w:rPr>
          <w:rFonts w:ascii="Palatino Linotype" w:hAnsi="Palatino Linotype" w:cs="Tahoma"/>
          <w:b/>
          <w:bCs/>
          <w:sz w:val="22"/>
          <w:szCs w:val="22"/>
          <w:highlight w:val="yellow"/>
        </w:rPr>
      </w:pPr>
    </w:p>
    <w:p w14:paraId="6B0B11A7" w14:textId="77777777" w:rsidR="00023304" w:rsidRDefault="00023304" w:rsidP="00023304">
      <w:pPr>
        <w:pStyle w:val="Akapitzlist"/>
        <w:spacing w:after="120" w:line="276" w:lineRule="auto"/>
        <w:ind w:left="851"/>
        <w:contextualSpacing w:val="0"/>
        <w:jc w:val="both"/>
        <w:rPr>
          <w:rFonts w:ascii="Palatino Linotype" w:hAnsi="Palatino Linotype" w:cs="Tahoma"/>
          <w:b/>
          <w:bCs/>
          <w:sz w:val="22"/>
          <w:szCs w:val="22"/>
        </w:rPr>
      </w:pPr>
    </w:p>
    <w:p w14:paraId="22B1166D" w14:textId="77777777" w:rsidR="00023304"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Pr>
          <w:rFonts w:ascii="Palatino Linotype" w:hAnsi="Palatino Linotype" w:cs="Tahoma"/>
          <w:b/>
          <w:bCs/>
          <w:sz w:val="22"/>
          <w:szCs w:val="22"/>
        </w:rPr>
        <w:lastRenderedPageBreak/>
        <w:t>Pytanie:</w:t>
      </w:r>
    </w:p>
    <w:p w14:paraId="59A4B1AB" w14:textId="3A673FF8" w:rsidR="00023304" w:rsidRDefault="00023304" w:rsidP="00023304">
      <w:pPr>
        <w:pStyle w:val="Akapitzlist"/>
        <w:spacing w:after="60" w:line="276" w:lineRule="auto"/>
        <w:ind w:left="851"/>
        <w:contextualSpacing w:val="0"/>
        <w:jc w:val="both"/>
        <w:rPr>
          <w:rFonts w:ascii="Palatino Linotype" w:hAnsi="Palatino Linotype" w:cs="Tahoma"/>
          <w:sz w:val="22"/>
          <w:szCs w:val="22"/>
        </w:rPr>
      </w:pPr>
      <w:r w:rsidRPr="00023304">
        <w:rPr>
          <w:rFonts w:ascii="Palatino Linotype" w:hAnsi="Palatino Linotype" w:cs="Tahoma"/>
          <w:sz w:val="22"/>
          <w:szCs w:val="22"/>
        </w:rPr>
        <w:t>Umowa § 1 ust. 11 Prosimy o podanie informacji czy z prawa opcji Zamawiający może skorzystać również w okresie trwania gwarancji</w:t>
      </w:r>
      <w:r>
        <w:rPr>
          <w:rFonts w:ascii="Palatino Linotype" w:hAnsi="Palatino Linotype" w:cs="Tahoma"/>
          <w:sz w:val="22"/>
          <w:szCs w:val="22"/>
        </w:rPr>
        <w:t>?</w:t>
      </w:r>
    </w:p>
    <w:p w14:paraId="299B945A" w14:textId="77777777" w:rsidR="00023304" w:rsidRDefault="00023304" w:rsidP="00023304">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7EA9FD88" w14:textId="142C02D8" w:rsidR="00F268A6" w:rsidRDefault="00F268A6" w:rsidP="00F268A6">
      <w:pPr>
        <w:pStyle w:val="Akapitzlist"/>
        <w:spacing w:after="120" w:line="276" w:lineRule="auto"/>
        <w:ind w:left="851"/>
        <w:contextualSpacing w:val="0"/>
        <w:jc w:val="both"/>
        <w:rPr>
          <w:rFonts w:ascii="Palatino Linotype" w:hAnsi="Palatino Linotype" w:cs="Tahoma"/>
          <w:sz w:val="22"/>
          <w:szCs w:val="22"/>
        </w:rPr>
      </w:pPr>
      <w:r w:rsidRPr="00F268A6">
        <w:rPr>
          <w:rFonts w:ascii="Palatino Linotype" w:hAnsi="Palatino Linotype" w:cs="Tahoma"/>
          <w:sz w:val="22"/>
          <w:szCs w:val="22"/>
        </w:rPr>
        <w:t>Zamawiający zastrzega sobie możliwość skorzystania z prawa opcji maksymalnie w ciągu 90 dni od podpisania umowy.</w:t>
      </w:r>
    </w:p>
    <w:p w14:paraId="7775D0D0" w14:textId="77777777" w:rsidR="00F268A6" w:rsidRPr="00F268A6" w:rsidRDefault="00F268A6" w:rsidP="00F268A6">
      <w:pPr>
        <w:pStyle w:val="Akapitzlist"/>
        <w:spacing w:after="120" w:line="276" w:lineRule="auto"/>
        <w:ind w:left="851"/>
        <w:contextualSpacing w:val="0"/>
        <w:jc w:val="both"/>
        <w:rPr>
          <w:rFonts w:ascii="Palatino Linotype" w:hAnsi="Palatino Linotype" w:cs="Tahoma"/>
          <w:sz w:val="22"/>
          <w:szCs w:val="22"/>
        </w:rPr>
      </w:pPr>
    </w:p>
    <w:p w14:paraId="260DE969" w14:textId="5396995B" w:rsidR="00023304" w:rsidRPr="00023304"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53861EB6" w14:textId="242689BD" w:rsidR="00023304" w:rsidRDefault="00023304" w:rsidP="00023304">
      <w:pPr>
        <w:pStyle w:val="Akapitzlist"/>
        <w:spacing w:after="60" w:line="276" w:lineRule="auto"/>
        <w:ind w:left="851"/>
        <w:contextualSpacing w:val="0"/>
        <w:jc w:val="both"/>
        <w:rPr>
          <w:rFonts w:ascii="Palatino Linotype" w:hAnsi="Palatino Linotype" w:cs="Tahoma"/>
          <w:sz w:val="22"/>
          <w:szCs w:val="22"/>
        </w:rPr>
      </w:pPr>
      <w:r w:rsidRPr="00023304">
        <w:rPr>
          <w:rFonts w:ascii="Palatino Linotype" w:hAnsi="Palatino Linotype" w:cs="Tahoma"/>
          <w:sz w:val="22"/>
          <w:szCs w:val="22"/>
        </w:rPr>
        <w:t>Umowa § 3 Prosimy o podanie informacji jaki jest czas trwania procedury odbiorczej przez Zamawiającego</w:t>
      </w:r>
      <w:r>
        <w:rPr>
          <w:rFonts w:ascii="Palatino Linotype" w:hAnsi="Palatino Linotype" w:cs="Tahoma"/>
          <w:sz w:val="22"/>
          <w:szCs w:val="22"/>
        </w:rPr>
        <w:t>?</w:t>
      </w:r>
    </w:p>
    <w:p w14:paraId="04407B76" w14:textId="77777777" w:rsidR="00023304" w:rsidRDefault="00023304" w:rsidP="00023304">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407A4565" w14:textId="696EBA8A" w:rsidR="00F268A6" w:rsidRPr="0003655A" w:rsidRDefault="00F268A6" w:rsidP="3DFD1CFE">
      <w:pPr>
        <w:pStyle w:val="Akapitzlist"/>
        <w:spacing w:after="120" w:line="276" w:lineRule="auto"/>
        <w:ind w:left="851"/>
        <w:jc w:val="both"/>
        <w:rPr>
          <w:rFonts w:ascii="Palatino Linotype" w:hAnsi="Palatino Linotype" w:cs="Tahoma"/>
          <w:sz w:val="22"/>
          <w:szCs w:val="22"/>
        </w:rPr>
      </w:pPr>
      <w:r w:rsidRPr="3DFD1CFE">
        <w:rPr>
          <w:rFonts w:ascii="Palatino Linotype" w:hAnsi="Palatino Linotype" w:cs="Tahoma"/>
          <w:sz w:val="22"/>
          <w:szCs w:val="22"/>
        </w:rPr>
        <w:t xml:space="preserve">Maksymalny czas </w:t>
      </w:r>
      <w:r w:rsidR="58C5DFCD" w:rsidRPr="3DFD1CFE">
        <w:rPr>
          <w:rFonts w:ascii="Palatino Linotype" w:hAnsi="Palatino Linotype" w:cs="Tahoma"/>
          <w:sz w:val="22"/>
          <w:szCs w:val="22"/>
        </w:rPr>
        <w:t xml:space="preserve">na przedstawienie stanowiska Zamawiającego podczas </w:t>
      </w:r>
      <w:r w:rsidRPr="3DFD1CFE">
        <w:rPr>
          <w:rFonts w:ascii="Palatino Linotype" w:hAnsi="Palatino Linotype" w:cs="Tahoma"/>
          <w:sz w:val="22"/>
          <w:szCs w:val="22"/>
        </w:rPr>
        <w:t>trwania procedury odbiorczej po każdym z etapów przez Zamawiającego to 7 dni roboczych</w:t>
      </w:r>
      <w:r w:rsidR="7817CAAF" w:rsidRPr="3DFD1CFE">
        <w:rPr>
          <w:rFonts w:ascii="Palatino Linotype" w:hAnsi="Palatino Linotype" w:cs="Tahoma"/>
          <w:sz w:val="22"/>
          <w:szCs w:val="22"/>
        </w:rPr>
        <w:t xml:space="preserve"> od zgłoszenia do odbioru</w:t>
      </w:r>
      <w:r w:rsidRPr="3DFD1CFE">
        <w:rPr>
          <w:rFonts w:ascii="Palatino Linotype" w:hAnsi="Palatino Linotype" w:cs="Tahoma"/>
          <w:sz w:val="22"/>
          <w:szCs w:val="22"/>
        </w:rPr>
        <w:t>. Jednocześnie Zamawiający informuje, że Wykonawca może realizować kolejne etapy bez podpisanego protokołu odbioru częściowego z poprzedniego etapu</w:t>
      </w:r>
      <w:r w:rsidR="44064CB9" w:rsidRPr="3DFD1CFE">
        <w:rPr>
          <w:rFonts w:ascii="Palatino Linotype" w:hAnsi="Palatino Linotype" w:cs="Tahoma"/>
          <w:sz w:val="22"/>
          <w:szCs w:val="22"/>
        </w:rPr>
        <w:t xml:space="preserve">, przy czym </w:t>
      </w:r>
      <w:r w:rsidR="69DD7987" w:rsidRPr="3DFD1CFE">
        <w:rPr>
          <w:rFonts w:ascii="Palatino Linotype" w:hAnsi="Palatino Linotype" w:cs="Tahoma"/>
          <w:sz w:val="22"/>
          <w:szCs w:val="22"/>
        </w:rPr>
        <w:t xml:space="preserve">zgodnie z </w:t>
      </w:r>
      <w:r w:rsidR="69DD7987" w:rsidRPr="0003655A">
        <w:rPr>
          <w:rFonts w:ascii="Palatino Linotype" w:hAnsi="Palatino Linotype" w:cs="Tahoma"/>
          <w:sz w:val="22"/>
          <w:szCs w:val="22"/>
        </w:rPr>
        <w:t xml:space="preserve">§ 3 ust. </w:t>
      </w:r>
      <w:r w:rsidR="17C39F2D" w:rsidRPr="3DFD1CFE">
        <w:rPr>
          <w:rFonts w:ascii="Palatino Linotype" w:hAnsi="Palatino Linotype" w:cs="Tahoma"/>
          <w:sz w:val="22"/>
          <w:szCs w:val="22"/>
        </w:rPr>
        <w:t>4</w:t>
      </w:r>
      <w:r w:rsidR="69DD7987" w:rsidRPr="3DFD1CFE">
        <w:rPr>
          <w:rFonts w:ascii="Palatino Linotype" w:hAnsi="Palatino Linotype" w:cs="Tahoma"/>
          <w:sz w:val="22"/>
          <w:szCs w:val="22"/>
        </w:rPr>
        <w:t xml:space="preserve"> umowy</w:t>
      </w:r>
      <w:r w:rsidR="5575B31E" w:rsidRPr="3DFD1CFE">
        <w:rPr>
          <w:rFonts w:ascii="Palatino Linotype" w:hAnsi="Palatino Linotype" w:cs="Tahoma"/>
          <w:sz w:val="22"/>
          <w:szCs w:val="22"/>
        </w:rPr>
        <w:t>,</w:t>
      </w:r>
      <w:r w:rsidR="69DD7987" w:rsidRPr="3DFD1CFE">
        <w:rPr>
          <w:rFonts w:ascii="Palatino Linotype" w:hAnsi="Palatino Linotype" w:cs="Tahoma"/>
          <w:sz w:val="22"/>
          <w:szCs w:val="22"/>
        </w:rPr>
        <w:t xml:space="preserve"> Wykon</w:t>
      </w:r>
      <w:r w:rsidR="532F9EF5" w:rsidRPr="3DFD1CFE">
        <w:rPr>
          <w:rFonts w:ascii="Palatino Linotype" w:hAnsi="Palatino Linotype" w:cs="Tahoma"/>
          <w:sz w:val="22"/>
          <w:szCs w:val="22"/>
        </w:rPr>
        <w:t>a</w:t>
      </w:r>
      <w:r w:rsidR="69DD7987" w:rsidRPr="3DFD1CFE">
        <w:rPr>
          <w:rFonts w:ascii="Palatino Linotype" w:hAnsi="Palatino Linotype" w:cs="Tahoma"/>
          <w:sz w:val="22"/>
          <w:szCs w:val="22"/>
        </w:rPr>
        <w:t xml:space="preserve">wca, za </w:t>
      </w:r>
      <w:r w:rsidR="3C8C82DB" w:rsidRPr="0003655A">
        <w:rPr>
          <w:rFonts w:ascii="Palatino Linotype" w:hAnsi="Palatino Linotype" w:cs="Tahoma"/>
          <w:sz w:val="22"/>
          <w:szCs w:val="22"/>
        </w:rPr>
        <w:t>wyjątkiem Etapu II, nie może przedstawić do odbioru prac związanych z realizacją kolejnego Etapu, dopóki Zamawiający nie zatwierdzi „bez uwag” Protokołu odbioru poprzedniego Etapu.</w:t>
      </w:r>
    </w:p>
    <w:p w14:paraId="38CD0CD9" w14:textId="77777777" w:rsidR="00023304" w:rsidRDefault="00023304" w:rsidP="00023304">
      <w:pPr>
        <w:pStyle w:val="Akapitzlist"/>
        <w:spacing w:after="120" w:line="276" w:lineRule="auto"/>
        <w:ind w:left="851"/>
        <w:contextualSpacing w:val="0"/>
        <w:jc w:val="both"/>
        <w:rPr>
          <w:rFonts w:ascii="Palatino Linotype" w:hAnsi="Palatino Linotype" w:cs="Tahoma"/>
          <w:b/>
          <w:bCs/>
          <w:sz w:val="22"/>
          <w:szCs w:val="22"/>
        </w:rPr>
      </w:pPr>
    </w:p>
    <w:p w14:paraId="2D72B667" w14:textId="77777777" w:rsidR="00023304" w:rsidRPr="00023304"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757ED2A0" w14:textId="1313A338" w:rsidR="00023304" w:rsidRPr="0003655A" w:rsidRDefault="00023304" w:rsidP="3DFD1CFE">
      <w:pPr>
        <w:pStyle w:val="Akapitzlist"/>
        <w:spacing w:after="60" w:line="276" w:lineRule="auto"/>
        <w:ind w:left="851"/>
        <w:contextualSpacing w:val="0"/>
        <w:jc w:val="both"/>
        <w:rPr>
          <w:rFonts w:ascii="Palatino Linotype" w:hAnsi="Palatino Linotype" w:cs="Tahoma"/>
          <w:sz w:val="22"/>
          <w:szCs w:val="22"/>
        </w:rPr>
      </w:pPr>
      <w:r w:rsidRPr="0003655A">
        <w:rPr>
          <w:rFonts w:ascii="Palatino Linotype" w:hAnsi="Palatino Linotype" w:cs="Tahoma"/>
          <w:sz w:val="22"/>
          <w:szCs w:val="22"/>
        </w:rPr>
        <w:t>Umowa § 3 Prosimy o podanie informacji jakie są kryteria odbioru poszczególnych Etapów?</w:t>
      </w:r>
    </w:p>
    <w:p w14:paraId="4476C27C" w14:textId="77777777" w:rsidR="00023304" w:rsidRDefault="00023304" w:rsidP="00023304">
      <w:pPr>
        <w:pStyle w:val="Akapitzlist"/>
        <w:spacing w:after="60" w:line="276" w:lineRule="auto"/>
        <w:ind w:left="851"/>
        <w:contextualSpacing w:val="0"/>
        <w:jc w:val="both"/>
        <w:rPr>
          <w:rFonts w:ascii="Palatino Linotype" w:hAnsi="Palatino Linotype" w:cs="Tahoma"/>
          <w:b/>
          <w:bCs/>
          <w:sz w:val="22"/>
          <w:szCs w:val="22"/>
        </w:rPr>
      </w:pPr>
      <w:r w:rsidRPr="0003655A">
        <w:rPr>
          <w:rFonts w:ascii="Palatino Linotype" w:hAnsi="Palatino Linotype" w:cs="Tahoma"/>
          <w:b/>
          <w:bCs/>
          <w:sz w:val="22"/>
          <w:szCs w:val="22"/>
        </w:rPr>
        <w:t>Odpowiedź</w:t>
      </w:r>
      <w:r w:rsidRPr="3DFD1CFE">
        <w:rPr>
          <w:rFonts w:ascii="Palatino Linotype" w:hAnsi="Palatino Linotype" w:cs="Tahoma"/>
          <w:b/>
          <w:bCs/>
          <w:sz w:val="22"/>
          <w:szCs w:val="22"/>
        </w:rPr>
        <w:t>:</w:t>
      </w:r>
    </w:p>
    <w:p w14:paraId="1B0FDC4D" w14:textId="255BF919" w:rsidR="00023304" w:rsidRPr="0003655A" w:rsidRDefault="5ACDD6D6" w:rsidP="0003655A">
      <w:pPr>
        <w:pStyle w:val="Akapitzlist"/>
        <w:spacing w:after="120" w:line="276" w:lineRule="auto"/>
        <w:ind w:left="851"/>
        <w:contextualSpacing w:val="0"/>
        <w:jc w:val="both"/>
        <w:rPr>
          <w:rFonts w:ascii="Palatino Linotype" w:eastAsia="Palatino Linotype" w:hAnsi="Palatino Linotype" w:cs="Palatino Linotype"/>
          <w:color w:val="385623" w:themeColor="accent6" w:themeShade="80"/>
          <w:sz w:val="22"/>
          <w:szCs w:val="22"/>
        </w:rPr>
      </w:pPr>
      <w:r w:rsidRPr="0003655A">
        <w:rPr>
          <w:rFonts w:ascii="Palatino Linotype" w:eastAsia="Palatino Linotype" w:hAnsi="Palatino Linotype" w:cs="Palatino Linotype"/>
          <w:color w:val="385623" w:themeColor="accent6" w:themeShade="80"/>
          <w:sz w:val="22"/>
          <w:szCs w:val="22"/>
        </w:rPr>
        <w:t>Zamawiający będzie oceniał przedstawiane do odbioru świadczenia pod kątem wymagań jakościowych, funkcjonalnych i ilościowych wynikających z OPZ.</w:t>
      </w:r>
    </w:p>
    <w:p w14:paraId="4A8333DD" w14:textId="77777777" w:rsidR="00023304" w:rsidRPr="00F268A6"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sz w:val="22"/>
          <w:szCs w:val="22"/>
          <w:highlight w:val="yellow"/>
        </w:rPr>
      </w:pPr>
      <w:r w:rsidRPr="0003655A">
        <w:rPr>
          <w:rFonts w:ascii="Palatino Linotype" w:hAnsi="Palatino Linotype" w:cs="Tahoma"/>
          <w:b/>
          <w:bCs/>
          <w:sz w:val="22"/>
          <w:szCs w:val="22"/>
        </w:rPr>
        <w:t>Pytanie:</w:t>
      </w:r>
    </w:p>
    <w:p w14:paraId="73694F91" w14:textId="552239AF" w:rsidR="00023304" w:rsidRPr="0003655A" w:rsidRDefault="00023304" w:rsidP="3DFD1CFE">
      <w:pPr>
        <w:pStyle w:val="Akapitzlist"/>
        <w:spacing w:after="120" w:line="276" w:lineRule="auto"/>
        <w:ind w:left="851"/>
        <w:contextualSpacing w:val="0"/>
        <w:jc w:val="both"/>
        <w:rPr>
          <w:rFonts w:ascii="Palatino Linotype" w:hAnsi="Palatino Linotype" w:cs="Tahoma"/>
          <w:sz w:val="22"/>
          <w:szCs w:val="22"/>
        </w:rPr>
      </w:pPr>
      <w:r w:rsidRPr="0003655A">
        <w:rPr>
          <w:rFonts w:ascii="Palatino Linotype" w:hAnsi="Palatino Linotype" w:cs="Tahoma"/>
          <w:sz w:val="22"/>
          <w:szCs w:val="22"/>
        </w:rPr>
        <w:t>Umowa § 3 Prosimy o podanie informacji czy czas trwania procedury odbiorowej po stronie Zamawiającego wlicza się do terminu wykonania poszczególnych Etapów prac?</w:t>
      </w:r>
    </w:p>
    <w:p w14:paraId="165E739F" w14:textId="77777777" w:rsidR="00023304" w:rsidRPr="0003655A" w:rsidRDefault="00023304" w:rsidP="3DFD1CFE">
      <w:pPr>
        <w:pStyle w:val="Akapitzlist"/>
        <w:spacing w:after="60" w:line="276" w:lineRule="auto"/>
        <w:ind w:left="851"/>
        <w:contextualSpacing w:val="0"/>
        <w:jc w:val="both"/>
        <w:rPr>
          <w:rFonts w:ascii="Palatino Linotype" w:hAnsi="Palatino Linotype" w:cs="Tahoma"/>
          <w:b/>
          <w:bCs/>
          <w:sz w:val="22"/>
          <w:szCs w:val="22"/>
        </w:rPr>
      </w:pPr>
      <w:r w:rsidRPr="0003655A">
        <w:rPr>
          <w:rFonts w:ascii="Palatino Linotype" w:hAnsi="Palatino Linotype" w:cs="Tahoma"/>
          <w:b/>
          <w:bCs/>
          <w:sz w:val="22"/>
          <w:szCs w:val="22"/>
        </w:rPr>
        <w:t>Odpowiedź:</w:t>
      </w:r>
    </w:p>
    <w:p w14:paraId="40865E1F" w14:textId="37F22C41" w:rsidR="00023304" w:rsidRPr="00F268A6" w:rsidRDefault="00F268A6" w:rsidP="00023304">
      <w:pPr>
        <w:pStyle w:val="Akapitzlist"/>
        <w:spacing w:after="120" w:line="276" w:lineRule="auto"/>
        <w:ind w:left="851"/>
        <w:contextualSpacing w:val="0"/>
        <w:jc w:val="both"/>
        <w:rPr>
          <w:rFonts w:ascii="Palatino Linotype" w:hAnsi="Palatino Linotype" w:cs="Tahoma"/>
          <w:sz w:val="22"/>
          <w:szCs w:val="22"/>
        </w:rPr>
      </w:pPr>
      <w:r w:rsidRPr="0003655A">
        <w:rPr>
          <w:rFonts w:ascii="Palatino Linotype" w:hAnsi="Palatino Linotype" w:cs="Tahoma"/>
          <w:sz w:val="22"/>
          <w:szCs w:val="22"/>
        </w:rPr>
        <w:t>Czas trwania procedury odbiorowej nie wlicza się do terminu wykonania poszczególnych etapów.</w:t>
      </w:r>
    </w:p>
    <w:p w14:paraId="7DD5B069" w14:textId="77777777" w:rsidR="00023304" w:rsidRPr="00023304" w:rsidRDefault="00023304" w:rsidP="00023304">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1D0BD9A6" w14:textId="3A973ED6" w:rsidR="00023304" w:rsidRDefault="006B1469" w:rsidP="00023304">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 § 3 ust. 4 Prosimy o podanie informacji jaka będzie procedura w przypadku gdy Zamawiający nie będzie przedstawiła uwag/wad do danego Etapu ani nie będzie podpisywał protokołu odbioru</w:t>
      </w:r>
      <w:r>
        <w:rPr>
          <w:rFonts w:ascii="Palatino Linotype" w:hAnsi="Palatino Linotype" w:cs="Tahoma"/>
          <w:sz w:val="22"/>
          <w:szCs w:val="22"/>
        </w:rPr>
        <w:t>?</w:t>
      </w:r>
    </w:p>
    <w:p w14:paraId="1138EB1E"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4FA0A0A9" w14:textId="069E7D7B" w:rsidR="006B1469" w:rsidRPr="0003655A" w:rsidRDefault="00DA452D" w:rsidP="3DFD1CFE">
      <w:pPr>
        <w:pStyle w:val="Akapitzlist"/>
        <w:spacing w:after="120" w:line="276" w:lineRule="auto"/>
        <w:ind w:left="851"/>
        <w:contextualSpacing w:val="0"/>
        <w:jc w:val="both"/>
        <w:rPr>
          <w:rFonts w:ascii="Palatino Linotype" w:hAnsi="Palatino Linotype" w:cs="Tahoma"/>
          <w:sz w:val="22"/>
          <w:szCs w:val="22"/>
        </w:rPr>
      </w:pPr>
      <w:r w:rsidRPr="0003655A">
        <w:rPr>
          <w:rFonts w:ascii="Palatino Linotype" w:hAnsi="Palatino Linotype" w:cs="Tahoma"/>
          <w:sz w:val="22"/>
          <w:szCs w:val="22"/>
        </w:rPr>
        <w:lastRenderedPageBreak/>
        <w:t xml:space="preserve">Zamawiający nie przewiduje sytuacji w której bezpodstawnie nie będzie podpisywał protokołów odbioru danego etapu. Jeśli Zamawiający nie będzie miał uwag do produktów danego etapu to przystąpi do podpisania protokołów częściowych za dany etap. </w:t>
      </w:r>
    </w:p>
    <w:p w14:paraId="60405E2A"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57526A3D" w14:textId="1B8D57B9"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 § 4 ust. 3 Prosimy o podanie informacji i literalne wskazanie jakie przepisy prawa mają zastosowanie do przedmiotu Umowy</w:t>
      </w:r>
      <w:r>
        <w:rPr>
          <w:rFonts w:ascii="Palatino Linotype" w:hAnsi="Palatino Linotype" w:cs="Tahoma"/>
          <w:sz w:val="22"/>
          <w:szCs w:val="22"/>
        </w:rPr>
        <w:t>?</w:t>
      </w:r>
    </w:p>
    <w:p w14:paraId="79368488"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F075476" w14:textId="1BFEAA48" w:rsidR="00DA452D" w:rsidRPr="0003655A" w:rsidRDefault="3793C35A" w:rsidP="3DFD1CFE">
      <w:pPr>
        <w:pStyle w:val="Akapitzlist"/>
        <w:spacing w:after="120" w:line="276" w:lineRule="auto"/>
        <w:ind w:left="851"/>
        <w:jc w:val="both"/>
        <w:rPr>
          <w:rFonts w:ascii="Palatino Linotype" w:hAnsi="Palatino Linotype" w:cs="Tahoma"/>
          <w:sz w:val="22"/>
          <w:szCs w:val="22"/>
        </w:rPr>
      </w:pPr>
      <w:r w:rsidRPr="3DFD1CFE">
        <w:rPr>
          <w:rFonts w:ascii="Palatino Linotype" w:hAnsi="Palatino Linotype" w:cs="Tahoma"/>
          <w:sz w:val="22"/>
          <w:szCs w:val="22"/>
        </w:rPr>
        <w:t xml:space="preserve"> </w:t>
      </w:r>
      <w:r w:rsidR="4B06431A" w:rsidRPr="0003655A">
        <w:rPr>
          <w:rFonts w:ascii="Palatino Linotype" w:hAnsi="Palatino Linotype" w:cs="Tahoma"/>
          <w:sz w:val="22"/>
          <w:szCs w:val="22"/>
        </w:rPr>
        <w:t>Zamawiając</w:t>
      </w:r>
      <w:r w:rsidR="360FA85C" w:rsidRPr="3DFD1CFE">
        <w:rPr>
          <w:rFonts w:ascii="Palatino Linotype" w:hAnsi="Palatino Linotype" w:cs="Tahoma"/>
          <w:sz w:val="22"/>
          <w:szCs w:val="22"/>
        </w:rPr>
        <w:t>y</w:t>
      </w:r>
      <w:r w:rsidR="4B06431A" w:rsidRPr="3DFD1CFE">
        <w:rPr>
          <w:rFonts w:ascii="Palatino Linotype" w:hAnsi="Palatino Linotype" w:cs="Tahoma"/>
          <w:sz w:val="22"/>
          <w:szCs w:val="22"/>
        </w:rPr>
        <w:t xml:space="preserve"> modyfikuje treść SWZ w ten sposób, że </w:t>
      </w:r>
      <w:r w:rsidR="64BC4BEB" w:rsidRPr="3DFD1CFE">
        <w:rPr>
          <w:rFonts w:ascii="Palatino Linotype" w:hAnsi="Palatino Linotype" w:cs="Tahoma"/>
          <w:sz w:val="22"/>
          <w:szCs w:val="22"/>
        </w:rPr>
        <w:t xml:space="preserve">w załączniku nr 2 do SWZ (wzór umowy) wykreśla postanowienie </w:t>
      </w:r>
      <w:r w:rsidR="004F3383">
        <w:rPr>
          <w:rFonts w:ascii="Palatino Linotype" w:hAnsi="Palatino Linotype" w:cs="Tahoma"/>
          <w:sz w:val="22"/>
          <w:szCs w:val="22"/>
        </w:rPr>
        <w:t>§</w:t>
      </w:r>
      <w:r w:rsidR="64BC4BEB" w:rsidRPr="3DFD1CFE">
        <w:rPr>
          <w:rFonts w:ascii="Palatino Linotype" w:hAnsi="Palatino Linotype" w:cs="Tahoma"/>
          <w:sz w:val="22"/>
          <w:szCs w:val="22"/>
        </w:rPr>
        <w:t xml:space="preserve"> 4 ust. 3.</w:t>
      </w:r>
    </w:p>
    <w:p w14:paraId="3B875E13"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5330E4BB"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186B0A88" w14:textId="78DC4533"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Pr>
          <w:rFonts w:ascii="Palatino Linotype" w:hAnsi="Palatino Linotype" w:cs="Tahoma"/>
          <w:sz w:val="22"/>
          <w:szCs w:val="22"/>
        </w:rPr>
        <w:t>U</w:t>
      </w:r>
      <w:r w:rsidRPr="006B1469">
        <w:rPr>
          <w:rFonts w:ascii="Palatino Linotype" w:hAnsi="Palatino Linotype" w:cs="Tahoma"/>
          <w:sz w:val="22"/>
          <w:szCs w:val="22"/>
        </w:rPr>
        <w:t>mowa § 4 ust. 3 Prosimy o podanie informacji na jaki dzień Przedmiot umowy ma być zgodny z przepisami prawa</w:t>
      </w:r>
      <w:r>
        <w:rPr>
          <w:rFonts w:ascii="Palatino Linotype" w:hAnsi="Palatino Linotype" w:cs="Tahoma"/>
          <w:sz w:val="22"/>
          <w:szCs w:val="22"/>
        </w:rPr>
        <w:t>?</w:t>
      </w:r>
    </w:p>
    <w:p w14:paraId="116153C6"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273FF914" w14:textId="481D8892" w:rsidR="00DA452D" w:rsidRPr="0003655A" w:rsidRDefault="5DC91A30" w:rsidP="3DFD1CFE">
      <w:pPr>
        <w:pStyle w:val="Akapitzlist"/>
        <w:spacing w:after="120" w:line="276" w:lineRule="auto"/>
        <w:ind w:left="851"/>
        <w:jc w:val="both"/>
        <w:rPr>
          <w:rFonts w:ascii="Palatino Linotype" w:hAnsi="Palatino Linotype" w:cs="Tahoma"/>
          <w:sz w:val="22"/>
          <w:szCs w:val="22"/>
        </w:rPr>
      </w:pPr>
      <w:r w:rsidRPr="0003655A">
        <w:rPr>
          <w:rFonts w:ascii="Palatino Linotype" w:hAnsi="Palatino Linotype" w:cs="Tahoma"/>
          <w:sz w:val="22"/>
          <w:szCs w:val="22"/>
        </w:rPr>
        <w:t>Por.</w:t>
      </w:r>
      <w:r w:rsidRPr="3DFD1CFE">
        <w:rPr>
          <w:rFonts w:ascii="Palatino Linotype" w:hAnsi="Palatino Linotype" w:cs="Tahoma"/>
          <w:sz w:val="22"/>
          <w:szCs w:val="22"/>
        </w:rPr>
        <w:t xml:space="preserve"> odpowiedź na pytanie 8.9.</w:t>
      </w:r>
      <w:r w:rsidR="3A4134A0" w:rsidRPr="3DFD1CFE">
        <w:rPr>
          <w:rFonts w:ascii="Palatino Linotype" w:hAnsi="Palatino Linotype" w:cs="Tahoma"/>
          <w:sz w:val="22"/>
          <w:szCs w:val="22"/>
        </w:rPr>
        <w:t xml:space="preserve"> Zachowanie </w:t>
      </w:r>
      <w:r w:rsidR="5D98874D" w:rsidRPr="3DFD1CFE">
        <w:rPr>
          <w:rFonts w:ascii="Palatino Linotype" w:hAnsi="Palatino Linotype" w:cs="Tahoma"/>
          <w:sz w:val="22"/>
          <w:szCs w:val="22"/>
        </w:rPr>
        <w:t xml:space="preserve">zarówno </w:t>
      </w:r>
      <w:r w:rsidR="3A4134A0" w:rsidRPr="3DFD1CFE">
        <w:rPr>
          <w:rFonts w:ascii="Palatino Linotype" w:hAnsi="Palatino Linotype" w:cs="Tahoma"/>
          <w:sz w:val="22"/>
          <w:szCs w:val="22"/>
        </w:rPr>
        <w:t>Wyko</w:t>
      </w:r>
      <w:r w:rsidR="555B3DCA" w:rsidRPr="3DFD1CFE">
        <w:rPr>
          <w:rFonts w:ascii="Palatino Linotype" w:hAnsi="Palatino Linotype" w:cs="Tahoma"/>
          <w:sz w:val="22"/>
          <w:szCs w:val="22"/>
        </w:rPr>
        <w:t>nawcy</w:t>
      </w:r>
      <w:r w:rsidR="5651C7E4" w:rsidRPr="3DFD1CFE">
        <w:rPr>
          <w:rFonts w:ascii="Palatino Linotype" w:hAnsi="Palatino Linotype" w:cs="Tahoma"/>
          <w:sz w:val="22"/>
          <w:szCs w:val="22"/>
        </w:rPr>
        <w:t>, jak Zamawiającego w każdym momencie powinno być zgodne z powszechnie obowiązującymi przepisami prawa.</w:t>
      </w:r>
    </w:p>
    <w:p w14:paraId="5DD785F4"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303AD63B"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3557BBA6" w14:textId="300D15FE"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 xml:space="preserve">Umowa § 4 ust. 3 Prosimy o podanie informacji jakie „stosowne” uzupełnienia i modyfikacje wynikające z zmian przepisów prawa ma wprowadzić Wykonawca i na jaki dzień? Dodatkowo prosimy o podanie informacji o maksymalnej ilości takich zmian. Wykonawca wskazuje iż wykonanie modyfikacji czy zmian jest </w:t>
      </w:r>
      <w:proofErr w:type="spellStart"/>
      <w:r w:rsidRPr="006B1469">
        <w:rPr>
          <w:rFonts w:ascii="Palatino Linotype" w:hAnsi="Palatino Linotype" w:cs="Tahoma"/>
          <w:sz w:val="22"/>
          <w:szCs w:val="22"/>
        </w:rPr>
        <w:t>wysokocenotwórcze</w:t>
      </w:r>
      <w:proofErr w:type="spellEnd"/>
      <w:r w:rsidRPr="006B1469">
        <w:rPr>
          <w:rFonts w:ascii="Palatino Linotype" w:hAnsi="Palatino Linotype" w:cs="Tahoma"/>
          <w:sz w:val="22"/>
          <w:szCs w:val="22"/>
        </w:rPr>
        <w:t xml:space="preserve"> a bark wskazania maksymalnej ilości zmian nie pozwala na prawidłową wycenę odpowiednich prac</w:t>
      </w:r>
      <w:r>
        <w:rPr>
          <w:rFonts w:ascii="Palatino Linotype" w:hAnsi="Palatino Linotype" w:cs="Tahoma"/>
          <w:sz w:val="22"/>
          <w:szCs w:val="22"/>
        </w:rPr>
        <w:t>.</w:t>
      </w:r>
    </w:p>
    <w:p w14:paraId="7396FFF6"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B46D1FF" w14:textId="1674E758" w:rsidR="00DA452D" w:rsidRPr="0003655A" w:rsidRDefault="195949A6" w:rsidP="3DFD1CFE">
      <w:pPr>
        <w:pStyle w:val="Akapitzlist"/>
        <w:spacing w:after="120" w:line="276" w:lineRule="auto"/>
        <w:ind w:left="851"/>
        <w:jc w:val="both"/>
        <w:rPr>
          <w:rFonts w:ascii="Palatino Linotype" w:hAnsi="Palatino Linotype" w:cs="Tahoma"/>
          <w:sz w:val="22"/>
          <w:szCs w:val="22"/>
        </w:rPr>
      </w:pPr>
      <w:r w:rsidRPr="3DFD1CFE">
        <w:rPr>
          <w:rFonts w:ascii="Palatino Linotype" w:hAnsi="Palatino Linotype" w:cs="Tahoma"/>
          <w:sz w:val="22"/>
          <w:szCs w:val="22"/>
        </w:rPr>
        <w:t>Por. odpowiedź na pytanie 8.9.</w:t>
      </w:r>
    </w:p>
    <w:p w14:paraId="02E6696C"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5C66FAD2"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1CFDE5DA" w14:textId="05692B49" w:rsidR="006B1469" w:rsidRPr="0003655A" w:rsidRDefault="006B1469" w:rsidP="3DFD1CFE">
      <w:pPr>
        <w:pStyle w:val="Akapitzlist"/>
        <w:spacing w:after="6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Umowa § 5 Ze względu iż realizacja przedmiotu Umowy wymaga współdziałania </w:t>
      </w:r>
      <w:r w:rsidRPr="0003655A">
        <w:rPr>
          <w:rFonts w:ascii="Palatino Linotype" w:hAnsi="Palatino Linotype" w:cs="Tahoma"/>
          <w:sz w:val="22"/>
          <w:szCs w:val="22"/>
        </w:rPr>
        <w:t>Zamawiającego prosimy o podanie informacji w jakim terminie Zamawiający będzie udostępniał wymagane dokumenty. Prosimy o podanie procedury postępowania w przypadku gdy Zamawiający nie udostępni wymaganych dokumentów lub informacji?</w:t>
      </w:r>
    </w:p>
    <w:p w14:paraId="2DF042C7"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03655A">
        <w:rPr>
          <w:rFonts w:ascii="Palatino Linotype" w:hAnsi="Palatino Linotype" w:cs="Tahoma"/>
          <w:b/>
          <w:bCs/>
          <w:sz w:val="22"/>
          <w:szCs w:val="22"/>
        </w:rPr>
        <w:t>Odpowiedź</w:t>
      </w:r>
      <w:r w:rsidRPr="3DFD1CFE">
        <w:rPr>
          <w:rFonts w:ascii="Palatino Linotype" w:hAnsi="Palatino Linotype" w:cs="Tahoma"/>
          <w:b/>
          <w:bCs/>
          <w:sz w:val="22"/>
          <w:szCs w:val="22"/>
        </w:rPr>
        <w:t>:</w:t>
      </w:r>
    </w:p>
    <w:p w14:paraId="3FCCBFE5" w14:textId="3BF20F2D" w:rsidR="006B1469" w:rsidRPr="0003655A" w:rsidRDefault="74327372" w:rsidP="0003655A">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lastRenderedPageBreak/>
        <w:t xml:space="preserve">Zamawiający wyjaśnia, że będzie udostępniał wymagane dokumenty w terminie </w:t>
      </w:r>
      <w:r w:rsidRPr="3DFD1CFE">
        <w:rPr>
          <w:rFonts w:ascii="Palatino Linotype" w:hAnsi="Palatino Linotype" w:cs="Tahoma"/>
          <w:sz w:val="22"/>
          <w:szCs w:val="22"/>
        </w:rPr>
        <w:t>7</w:t>
      </w:r>
      <w:r w:rsidRPr="0003655A">
        <w:rPr>
          <w:rFonts w:ascii="Palatino Linotype" w:hAnsi="Palatino Linotype" w:cs="Tahoma"/>
          <w:sz w:val="22"/>
          <w:szCs w:val="22"/>
        </w:rPr>
        <w:t xml:space="preserve"> dni od otrzymania od wykonawcy wniosku w tym zakresie. Przyczyną nieudostępnienia informacji lub dokumentów może być ich nieposiadanie, bądź okoliczność, że ich treść jest chroniona na podstawie powszechnie obowiązujących przepisów prawa.</w:t>
      </w:r>
    </w:p>
    <w:p w14:paraId="753E9DAA" w14:textId="3C68745D" w:rsidR="006B1469" w:rsidRDefault="006B1469" w:rsidP="0003655A">
      <w:pPr>
        <w:spacing w:after="120" w:line="276" w:lineRule="auto"/>
        <w:rPr>
          <w:rFonts w:ascii="Palatino Linotype" w:hAnsi="Palatino Linotype" w:cs="Tahoma"/>
          <w:b/>
          <w:bCs/>
          <w:sz w:val="22"/>
          <w:szCs w:val="22"/>
        </w:rPr>
      </w:pPr>
    </w:p>
    <w:p w14:paraId="7E3366A2"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2EAE30F0" w14:textId="42642F43"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w:t>
      </w:r>
      <w:r>
        <w:rPr>
          <w:rFonts w:ascii="Palatino Linotype" w:hAnsi="Palatino Linotype" w:cs="Tahoma"/>
          <w:sz w:val="22"/>
          <w:szCs w:val="22"/>
        </w:rPr>
        <w:t xml:space="preserve"> </w:t>
      </w:r>
      <w:r w:rsidRPr="006B1469">
        <w:rPr>
          <w:rFonts w:ascii="Palatino Linotype" w:hAnsi="Palatino Linotype" w:cs="Tahoma"/>
          <w:sz w:val="22"/>
          <w:szCs w:val="22"/>
        </w:rPr>
        <w:t>§ 6 ust. 5 Prosimy o literalne wymiennie przypadków w których Zamawiający ma prawo żądać wymiany Personelu kluczowego</w:t>
      </w:r>
      <w:r>
        <w:rPr>
          <w:rFonts w:ascii="Palatino Linotype" w:hAnsi="Palatino Linotype" w:cs="Tahoma"/>
          <w:sz w:val="22"/>
          <w:szCs w:val="22"/>
        </w:rPr>
        <w:t>?</w:t>
      </w:r>
    </w:p>
    <w:p w14:paraId="6B4359B8" w14:textId="77777777" w:rsidR="006B1469" w:rsidRPr="0003655A" w:rsidRDefault="006B1469" w:rsidP="3DFD1CFE">
      <w:pPr>
        <w:pStyle w:val="Akapitzlist"/>
        <w:spacing w:after="60" w:line="276" w:lineRule="auto"/>
        <w:ind w:left="851"/>
        <w:contextualSpacing w:val="0"/>
        <w:jc w:val="both"/>
        <w:rPr>
          <w:rFonts w:ascii="Palatino Linotype" w:hAnsi="Palatino Linotype" w:cs="Tahoma"/>
          <w:b/>
          <w:bCs/>
          <w:sz w:val="22"/>
          <w:szCs w:val="22"/>
        </w:rPr>
      </w:pPr>
      <w:r w:rsidRPr="0003655A">
        <w:rPr>
          <w:rFonts w:ascii="Palatino Linotype" w:hAnsi="Palatino Linotype" w:cs="Tahoma"/>
          <w:b/>
          <w:bCs/>
          <w:sz w:val="22"/>
          <w:szCs w:val="22"/>
        </w:rPr>
        <w:t>Odpowiedź:</w:t>
      </w:r>
    </w:p>
    <w:p w14:paraId="11D5D34B" w14:textId="3214C38C" w:rsidR="006B1469" w:rsidRDefault="00DA452D" w:rsidP="3DFD1CFE">
      <w:pPr>
        <w:pStyle w:val="Akapitzlist"/>
        <w:spacing w:after="120" w:line="276" w:lineRule="auto"/>
        <w:ind w:left="851"/>
        <w:contextualSpacing w:val="0"/>
        <w:jc w:val="both"/>
        <w:rPr>
          <w:rFonts w:ascii="Palatino Linotype" w:hAnsi="Palatino Linotype" w:cs="Tahoma"/>
          <w:sz w:val="22"/>
          <w:szCs w:val="22"/>
        </w:rPr>
      </w:pPr>
      <w:r w:rsidRPr="0003655A">
        <w:rPr>
          <w:rFonts w:ascii="Palatino Linotype" w:hAnsi="Palatino Linotype" w:cs="Tahoma"/>
          <w:sz w:val="22"/>
          <w:szCs w:val="22"/>
        </w:rPr>
        <w:t xml:space="preserve">Wszystkie przypadki zostały wymienione i opisane </w:t>
      </w:r>
      <w:r w:rsidR="004F3383">
        <w:rPr>
          <w:rFonts w:ascii="Palatino Linotype" w:hAnsi="Palatino Linotype" w:cs="Tahoma"/>
          <w:sz w:val="22"/>
          <w:szCs w:val="22"/>
        </w:rPr>
        <w:t>w § 6 wzoru umowy.</w:t>
      </w:r>
    </w:p>
    <w:p w14:paraId="560F1D38" w14:textId="77777777" w:rsidR="008D1621" w:rsidRPr="0003655A" w:rsidRDefault="008D1621" w:rsidP="3DFD1CFE">
      <w:pPr>
        <w:pStyle w:val="Akapitzlist"/>
        <w:spacing w:after="120" w:line="276" w:lineRule="auto"/>
        <w:ind w:left="851"/>
        <w:contextualSpacing w:val="0"/>
        <w:jc w:val="both"/>
        <w:rPr>
          <w:rFonts w:ascii="Palatino Linotype" w:hAnsi="Palatino Linotype" w:cs="Tahoma"/>
          <w:sz w:val="22"/>
          <w:szCs w:val="22"/>
        </w:rPr>
      </w:pPr>
    </w:p>
    <w:p w14:paraId="5317AA01"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1875F2FC" w14:textId="5C75B9E8"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w:t>
      </w:r>
      <w:r>
        <w:rPr>
          <w:rFonts w:ascii="Palatino Linotype" w:hAnsi="Palatino Linotype" w:cs="Tahoma"/>
          <w:sz w:val="22"/>
          <w:szCs w:val="22"/>
        </w:rPr>
        <w:t xml:space="preserve"> </w:t>
      </w:r>
      <w:r w:rsidRPr="006B1469">
        <w:rPr>
          <w:rFonts w:ascii="Palatino Linotype" w:hAnsi="Palatino Linotype" w:cs="Tahoma"/>
          <w:sz w:val="22"/>
          <w:szCs w:val="22"/>
        </w:rPr>
        <w:t>§ 8 oraz § 10 Ze względu iż zabezpieczenie dobrego wykonania umowy służy pokryciu roszczeń i gwarancji prosimy o podanie informacji czy okres rękojmi o gwarancji ma być taki sam</w:t>
      </w:r>
      <w:r>
        <w:rPr>
          <w:rFonts w:ascii="Palatino Linotype" w:hAnsi="Palatino Linotype" w:cs="Tahoma"/>
          <w:sz w:val="22"/>
          <w:szCs w:val="22"/>
        </w:rPr>
        <w:t>?</w:t>
      </w:r>
    </w:p>
    <w:p w14:paraId="67A6E8DD"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74E77785" w14:textId="044B40FA" w:rsidR="008D1621" w:rsidRPr="0003655A" w:rsidRDefault="004F3383" w:rsidP="0003655A">
      <w:pPr>
        <w:pStyle w:val="Akapitzlist"/>
        <w:spacing w:after="60" w:line="276" w:lineRule="auto"/>
        <w:ind w:left="851"/>
        <w:jc w:val="both"/>
        <w:rPr>
          <w:rFonts w:ascii="Palatino Linotype" w:hAnsi="Palatino Linotype" w:cs="Tahoma"/>
          <w:sz w:val="22"/>
          <w:szCs w:val="22"/>
        </w:rPr>
      </w:pPr>
      <w:r>
        <w:rPr>
          <w:rFonts w:ascii="Palatino Linotype" w:hAnsi="Palatino Linotype" w:cs="Tahoma"/>
          <w:sz w:val="22"/>
          <w:szCs w:val="22"/>
        </w:rPr>
        <w:t>Z</w:t>
      </w:r>
      <w:r w:rsidR="34B72D4B" w:rsidRPr="0003655A">
        <w:rPr>
          <w:rFonts w:ascii="Palatino Linotype" w:hAnsi="Palatino Linotype" w:cs="Tahoma"/>
          <w:sz w:val="22"/>
          <w:szCs w:val="22"/>
        </w:rPr>
        <w:t>amawiający wyjaśnia, że długość okresu rękojmi wynika z § 10 ust. 2 wzoru umowy (24 miesiące od dnia podpisania przez przedstawicieli Stron Protokołu odbioru końcowego „bez uwag”). Okres gwarancji stanowi kryterium oceny ofert opisane w Rozdziale 16 SWZ. Minimalny okres gwarancji wynosi 3 lata.</w:t>
      </w:r>
    </w:p>
    <w:p w14:paraId="09404C7E"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02C327F6"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2B69ED6C" w14:textId="15B86B04"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w:t>
      </w:r>
      <w:r>
        <w:rPr>
          <w:rFonts w:ascii="Palatino Linotype" w:hAnsi="Palatino Linotype" w:cs="Tahoma"/>
          <w:sz w:val="22"/>
          <w:szCs w:val="22"/>
        </w:rPr>
        <w:t xml:space="preserve"> </w:t>
      </w:r>
      <w:r w:rsidRPr="006B1469">
        <w:rPr>
          <w:rFonts w:ascii="Palatino Linotype" w:hAnsi="Palatino Linotype" w:cs="Tahoma"/>
          <w:sz w:val="22"/>
          <w:szCs w:val="22"/>
        </w:rPr>
        <w:t>§ 9 ust. 6 Ze względu iż Zamawiający ma prawo żądać akceptacji polisy prosimy o podanie informacji i literalne wymiennie wymogów jakie ma spełniać polisa OC</w:t>
      </w:r>
      <w:r>
        <w:rPr>
          <w:rFonts w:ascii="Palatino Linotype" w:hAnsi="Palatino Linotype" w:cs="Tahoma"/>
          <w:sz w:val="22"/>
          <w:szCs w:val="22"/>
        </w:rPr>
        <w:t>?</w:t>
      </w:r>
    </w:p>
    <w:p w14:paraId="3A4CA599"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7AFCD390" w14:textId="560861D4" w:rsidR="00DA452D" w:rsidRPr="0003655A" w:rsidRDefault="1F6AAEB5" w:rsidP="0003655A">
      <w:pPr>
        <w:pStyle w:val="Akapitzlist"/>
        <w:spacing w:after="60" w:line="276" w:lineRule="auto"/>
        <w:ind w:left="851"/>
        <w:jc w:val="both"/>
        <w:rPr>
          <w:rFonts w:ascii="Palatino Linotype" w:hAnsi="Palatino Linotype" w:cs="Tahoma"/>
          <w:sz w:val="22"/>
          <w:szCs w:val="22"/>
        </w:rPr>
      </w:pPr>
      <w:r w:rsidRPr="3DFD1CFE">
        <w:rPr>
          <w:rFonts w:ascii="Palatino Linotype" w:eastAsia="Palatino Linotype" w:hAnsi="Palatino Linotype" w:cs="Palatino Linotype"/>
          <w:b/>
          <w:bCs/>
          <w:color w:val="385623" w:themeColor="accent6" w:themeShade="80"/>
          <w:sz w:val="22"/>
          <w:szCs w:val="22"/>
        </w:rPr>
        <w:t xml:space="preserve"> </w:t>
      </w:r>
      <w:r w:rsidRPr="0003655A">
        <w:rPr>
          <w:rFonts w:ascii="Palatino Linotype" w:hAnsi="Palatino Linotype" w:cs="Tahoma"/>
          <w:sz w:val="22"/>
          <w:szCs w:val="22"/>
        </w:rPr>
        <w:t>Zamawiający wyjaśnia, że polisa ma spełniać wymagania opisane w § 9 ust. 1 wzoru umowy.</w:t>
      </w:r>
    </w:p>
    <w:p w14:paraId="2979BAAC"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3DFB1507"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6AB12D5A" w14:textId="30B043ED"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w:t>
      </w:r>
      <w:r>
        <w:rPr>
          <w:rFonts w:ascii="Palatino Linotype" w:hAnsi="Palatino Linotype" w:cs="Tahoma"/>
          <w:sz w:val="22"/>
          <w:szCs w:val="22"/>
        </w:rPr>
        <w:t xml:space="preserve"> </w:t>
      </w:r>
      <w:r w:rsidRPr="006B1469">
        <w:rPr>
          <w:rFonts w:ascii="Palatino Linotype" w:hAnsi="Palatino Linotype" w:cs="Tahoma"/>
          <w:sz w:val="22"/>
          <w:szCs w:val="22"/>
        </w:rPr>
        <w:t xml:space="preserve">§ 9 ust. 1 Prosimy o podanie informacji czy polisa ubezpieczeniowa dotyczy przedmiotu Umowy czy ma dotyczyć odpowiedzialność cywilnej Wykonawcy </w:t>
      </w:r>
      <w:proofErr w:type="spellStart"/>
      <w:r w:rsidRPr="006B1469">
        <w:rPr>
          <w:rFonts w:ascii="Palatino Linotype" w:hAnsi="Palatino Linotype" w:cs="Tahoma"/>
          <w:sz w:val="22"/>
          <w:szCs w:val="22"/>
        </w:rPr>
        <w:t>tz</w:t>
      </w:r>
      <w:proofErr w:type="spellEnd"/>
      <w:r w:rsidRPr="006B1469">
        <w:rPr>
          <w:rFonts w:ascii="Palatino Linotype" w:hAnsi="Palatino Linotype" w:cs="Tahoma"/>
          <w:sz w:val="22"/>
          <w:szCs w:val="22"/>
        </w:rPr>
        <w:t>. polisy OC, która nie odnosi się do konkretnego projektu? Jednocześnie Wykonawca wskazuję, iż w Polsce nie ma możliwości założenia polisy ubezpieczeniowej na konkretny projekt z dziedziny IT. W Polsce polisy ubezpieczeniowe są zakładane jedynie na projekty budowlane</w:t>
      </w:r>
      <w:r>
        <w:rPr>
          <w:rFonts w:ascii="Palatino Linotype" w:hAnsi="Palatino Linotype" w:cs="Tahoma"/>
          <w:sz w:val="22"/>
          <w:szCs w:val="22"/>
        </w:rPr>
        <w:t>.</w:t>
      </w:r>
    </w:p>
    <w:p w14:paraId="2FCA1FA9"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FC252F0" w14:textId="368960E7" w:rsidR="00DA452D" w:rsidRPr="0003655A" w:rsidRDefault="20ABF9BC" w:rsidP="0003655A">
      <w:pPr>
        <w:pStyle w:val="Akapitzlist"/>
        <w:spacing w:after="60" w:line="276" w:lineRule="auto"/>
        <w:ind w:left="851"/>
        <w:jc w:val="both"/>
        <w:rPr>
          <w:rFonts w:ascii="Palatino Linotype" w:hAnsi="Palatino Linotype" w:cs="Tahoma"/>
          <w:sz w:val="22"/>
          <w:szCs w:val="22"/>
        </w:rPr>
      </w:pPr>
      <w:r w:rsidRPr="3DFD1CFE">
        <w:rPr>
          <w:rFonts w:ascii="Palatino Linotype" w:eastAsia="Palatino Linotype" w:hAnsi="Palatino Linotype" w:cs="Palatino Linotype"/>
          <w:b/>
          <w:bCs/>
          <w:color w:val="385623" w:themeColor="accent6" w:themeShade="80"/>
          <w:sz w:val="22"/>
          <w:szCs w:val="22"/>
        </w:rPr>
        <w:lastRenderedPageBreak/>
        <w:t xml:space="preserve"> </w:t>
      </w:r>
      <w:r w:rsidRPr="0003655A">
        <w:rPr>
          <w:rFonts w:ascii="Palatino Linotype" w:hAnsi="Palatino Linotype" w:cs="Tahoma"/>
          <w:sz w:val="22"/>
          <w:szCs w:val="22"/>
        </w:rPr>
        <w:t>Zamawiający wyjaśnia, że polisa, o której mowa w § 9 obejmuje ryzyka związane z realizacją przedmiotowego zamówienia, tj. odnosi się do konkretnego projektu.</w:t>
      </w:r>
    </w:p>
    <w:p w14:paraId="782D739A"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02B8D9A7"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752A965D" w14:textId="79302BFE"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w:t>
      </w:r>
      <w:r>
        <w:rPr>
          <w:rFonts w:ascii="Palatino Linotype" w:hAnsi="Palatino Linotype" w:cs="Tahoma"/>
          <w:sz w:val="22"/>
          <w:szCs w:val="22"/>
        </w:rPr>
        <w:t xml:space="preserve"> </w:t>
      </w:r>
      <w:r w:rsidRPr="006B1469">
        <w:rPr>
          <w:rFonts w:ascii="Palatino Linotype" w:hAnsi="Palatino Linotype" w:cs="Tahoma"/>
          <w:sz w:val="22"/>
          <w:szCs w:val="22"/>
        </w:rPr>
        <w:t>§ 11 Prosimy o potwierdzenie że przeniesienie majątkowy praw autorskich nie dotyczy dokumentacji producenta sprzętu i oprogramowania</w:t>
      </w:r>
      <w:r>
        <w:rPr>
          <w:rFonts w:ascii="Palatino Linotype" w:hAnsi="Palatino Linotype" w:cs="Tahoma"/>
          <w:sz w:val="22"/>
          <w:szCs w:val="22"/>
        </w:rPr>
        <w:t>?</w:t>
      </w:r>
    </w:p>
    <w:p w14:paraId="0FD518D9"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030E304" w14:textId="31830555" w:rsidR="3DFD1CFE" w:rsidRPr="008D1621" w:rsidRDefault="62FA0F56" w:rsidP="0003655A">
      <w:pPr>
        <w:pStyle w:val="Akapitzlist"/>
        <w:spacing w:after="60" w:line="276" w:lineRule="auto"/>
        <w:ind w:left="851"/>
        <w:jc w:val="both"/>
      </w:pPr>
      <w:r w:rsidRPr="0003655A">
        <w:rPr>
          <w:rFonts w:ascii="Palatino Linotype" w:hAnsi="Palatino Linotype" w:cs="Tahoma"/>
          <w:sz w:val="22"/>
          <w:szCs w:val="22"/>
        </w:rPr>
        <w:t xml:space="preserve"> Zamawiający potwierdza</w:t>
      </w:r>
      <w:r w:rsidR="7BCB4C17" w:rsidRPr="3DFD1CFE">
        <w:rPr>
          <w:rFonts w:ascii="Palatino Linotype" w:hAnsi="Palatino Linotype" w:cs="Tahoma"/>
          <w:sz w:val="22"/>
          <w:szCs w:val="22"/>
        </w:rPr>
        <w:t xml:space="preserve"> powyższe rozumienie </w:t>
      </w:r>
      <w:r w:rsidR="004F3383">
        <w:rPr>
          <w:rFonts w:ascii="Palatino Linotype" w:hAnsi="Palatino Linotype" w:cs="Tahoma"/>
          <w:sz w:val="22"/>
          <w:szCs w:val="22"/>
        </w:rPr>
        <w:t>§</w:t>
      </w:r>
      <w:r w:rsidR="7BCB4C17" w:rsidRPr="3DFD1CFE">
        <w:rPr>
          <w:rFonts w:ascii="Palatino Linotype" w:hAnsi="Palatino Linotype" w:cs="Tahoma"/>
          <w:sz w:val="22"/>
          <w:szCs w:val="22"/>
        </w:rPr>
        <w:t xml:space="preserve"> 11 wzoru umowy.</w:t>
      </w:r>
    </w:p>
    <w:p w14:paraId="7D26EF7B"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59BE39CB"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4814A0A4" w14:textId="0AFA58FF"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Umowa</w:t>
      </w:r>
      <w:r>
        <w:rPr>
          <w:rFonts w:ascii="Palatino Linotype" w:hAnsi="Palatino Linotype" w:cs="Tahoma"/>
          <w:sz w:val="22"/>
          <w:szCs w:val="22"/>
        </w:rPr>
        <w:t xml:space="preserve"> </w:t>
      </w:r>
      <w:r w:rsidRPr="006B1469">
        <w:rPr>
          <w:rFonts w:ascii="Palatino Linotype" w:hAnsi="Palatino Linotype" w:cs="Tahoma"/>
          <w:sz w:val="22"/>
          <w:szCs w:val="22"/>
        </w:rPr>
        <w:t>§ 12 ust. 3 Prosimy o wprowadzenie na końcu tego ust. postanowień o następującej treści „z zastrzeżeniem iż łączna i całkowita odpowiedzialność odszkodowawcza Wykonawcy, niezależnie od podstawy prawnej dochodzonego roszczenia, wynikająca z realizacji umowy lub mająca z nią związek (w tym z tytułu kar umownych) ograniczona jest do wartości umowy.  Wykonawca nie ponosi odpowiedzialności za utracone korzyści”. Przedmiotowa prośba uzasadniona jest coraz szerszą międzynarodową praktyką, w której standardem są klauzule ograniczające odpowiedzialność odszkodowawczą Wykonawcy, w kontekście coraz powszechniejszej zasady, że odpowiedzialność Wykonawcy nie powinna przekraczać określonej części wynagrodzenia umownego Wykonawcy (min. klauzule takie funkcjonują w umowach Banku Światowego, są rekomendowane przez UZP). Pragniemy zauważyć, że ograniczenie odpowiedzialności do konkretnej kwoty i do sytuacji, w których wystąpiła bezpośrednia strata Zamawiającego pozwoli na zaoferowanie znacznie niższej ceny, a wyznaczony pułap kar umownych i łącznej kwoty odpowiedzialności odszkodowawczej są i tak wystarczającym czynnikiem „motywującym” Wykonawcę do należytego, w tym terminowego wykonania umowy</w:t>
      </w:r>
      <w:r>
        <w:rPr>
          <w:rFonts w:ascii="Palatino Linotype" w:hAnsi="Palatino Linotype" w:cs="Tahoma"/>
          <w:sz w:val="22"/>
          <w:szCs w:val="22"/>
        </w:rPr>
        <w:t>.</w:t>
      </w:r>
    </w:p>
    <w:p w14:paraId="160C4451"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bookmarkStart w:id="0" w:name="_Hlk69896894"/>
      <w:r w:rsidRPr="00FC69FE">
        <w:rPr>
          <w:rFonts w:ascii="Palatino Linotype" w:hAnsi="Palatino Linotype" w:cs="Tahoma"/>
          <w:b/>
          <w:bCs/>
          <w:sz w:val="22"/>
          <w:szCs w:val="22"/>
        </w:rPr>
        <w:t>Odpowiedź:</w:t>
      </w:r>
    </w:p>
    <w:p w14:paraId="4AA4A389" w14:textId="0A704F12" w:rsidR="00DA452D" w:rsidRDefault="46A3C277" w:rsidP="0003655A">
      <w:pPr>
        <w:pStyle w:val="Akapitzlist"/>
        <w:spacing w:after="120" w:line="276" w:lineRule="auto"/>
        <w:ind w:left="851"/>
        <w:contextualSpacing w:val="0"/>
        <w:jc w:val="both"/>
        <w:rPr>
          <w:rFonts w:ascii="Palatino Linotype" w:eastAsia="Palatino Linotype" w:hAnsi="Palatino Linotype" w:cs="Palatino Linotype"/>
          <w:b/>
          <w:bCs/>
          <w:color w:val="385623" w:themeColor="accent6" w:themeShade="80"/>
          <w:sz w:val="22"/>
          <w:szCs w:val="22"/>
        </w:rPr>
      </w:pPr>
      <w:r w:rsidRPr="3DFD1CFE">
        <w:rPr>
          <w:rFonts w:ascii="Palatino Linotype" w:eastAsia="Palatino Linotype" w:hAnsi="Palatino Linotype" w:cs="Palatino Linotype"/>
          <w:b/>
          <w:bCs/>
          <w:color w:val="385623" w:themeColor="accent6" w:themeShade="80"/>
          <w:sz w:val="22"/>
          <w:szCs w:val="22"/>
        </w:rPr>
        <w:t xml:space="preserve"> </w:t>
      </w:r>
      <w:r w:rsidRPr="0003655A">
        <w:rPr>
          <w:rFonts w:ascii="Palatino Linotype" w:hAnsi="Palatino Linotype" w:cs="Tahoma"/>
          <w:sz w:val="22"/>
          <w:szCs w:val="22"/>
        </w:rPr>
        <w:t>Zamawiający nie wyraża zgody na proponowaną zmianę.</w:t>
      </w:r>
    </w:p>
    <w:p w14:paraId="6FA59637"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3E809E10"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4134E69C" w14:textId="7324704A"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Umo</w:t>
      </w:r>
      <w:bookmarkEnd w:id="0"/>
      <w:r w:rsidRPr="006B1469">
        <w:rPr>
          <w:rFonts w:ascii="Palatino Linotype" w:hAnsi="Palatino Linotype" w:cs="Tahoma"/>
          <w:sz w:val="22"/>
          <w:szCs w:val="22"/>
        </w:rPr>
        <w:t>wa</w:t>
      </w:r>
      <w:r>
        <w:rPr>
          <w:rFonts w:ascii="Palatino Linotype" w:hAnsi="Palatino Linotype" w:cs="Tahoma"/>
          <w:sz w:val="22"/>
          <w:szCs w:val="22"/>
        </w:rPr>
        <w:t xml:space="preserve"> </w:t>
      </w:r>
      <w:r w:rsidRPr="006B1469">
        <w:rPr>
          <w:rFonts w:ascii="Palatino Linotype" w:hAnsi="Palatino Linotype" w:cs="Tahoma"/>
          <w:sz w:val="22"/>
          <w:szCs w:val="22"/>
        </w:rPr>
        <w:t>§ 13 Prosimy o podanie informacji jaka będzie procedura w przypadku odstąpienia od Umowy w całości</w:t>
      </w:r>
      <w:r>
        <w:rPr>
          <w:rFonts w:ascii="Palatino Linotype" w:hAnsi="Palatino Linotype" w:cs="Tahoma"/>
          <w:sz w:val="22"/>
          <w:szCs w:val="22"/>
        </w:rPr>
        <w:t>?</w:t>
      </w:r>
    </w:p>
    <w:p w14:paraId="390244DF"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29047EC" w14:textId="42081BAB" w:rsidR="008D1621" w:rsidRPr="0003655A" w:rsidRDefault="5B8C875A" w:rsidP="0003655A">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 xml:space="preserve"> Zamawiający wyjaśnia, że procedura w przypadku odstąpienia od Umowy w całości obejmuje realizację skutków wynikających z przepisu art. 395 § 2 Kodeksu cywilnego, tj. zwrotu tego, co Strony Umowy już świadczyły w stanie niezmienionym, chyba że zmiana była konieczna w granicach zwykłego zarządu.</w:t>
      </w:r>
    </w:p>
    <w:p w14:paraId="2718E1A0"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57F4BB19" w14:textId="639E2413" w:rsidR="006B1469" w:rsidRPr="006B1469" w:rsidRDefault="006B1469" w:rsidP="006B1469">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20.04.2021 r. – pismo 3:</w:t>
      </w:r>
    </w:p>
    <w:p w14:paraId="44DAEAA2" w14:textId="2C329648" w:rsidR="006B1469" w:rsidRPr="006B1469"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lastRenderedPageBreak/>
        <w:t>Pytanie:</w:t>
      </w:r>
    </w:p>
    <w:p w14:paraId="0137D264" w14:textId="77777777" w:rsidR="006B1469" w:rsidRP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Dotyczy infrastruktury hiperkonwergentnej – System – punkt 9:</w:t>
      </w:r>
    </w:p>
    <w:p w14:paraId="2BBC1D47" w14:textId="122688FC" w:rsidR="006B1469" w:rsidRDefault="006B1469" w:rsidP="006B1469">
      <w:pPr>
        <w:pStyle w:val="Akapitzlist"/>
        <w:spacing w:after="60" w:line="276" w:lineRule="auto"/>
        <w:ind w:left="851"/>
        <w:contextualSpacing w:val="0"/>
        <w:jc w:val="both"/>
        <w:rPr>
          <w:rFonts w:ascii="Palatino Linotype" w:hAnsi="Palatino Linotype" w:cs="Tahoma"/>
          <w:sz w:val="22"/>
          <w:szCs w:val="22"/>
        </w:rPr>
      </w:pPr>
      <w:r w:rsidRPr="006B1469">
        <w:rPr>
          <w:rFonts w:ascii="Palatino Linotype" w:hAnsi="Palatino Linotype" w:cs="Tahoma"/>
          <w:sz w:val="22"/>
          <w:szCs w:val="22"/>
        </w:rPr>
        <w:t>OPZ definiuje parametry środowiska SAN, ale brak jest wymogu obsługi protokołu FC. W związku z powyższym, czy Zamawiający nie planuje połączenia środowiska SAN z środowiskiem hiperkonwergentnym? Czy w ofercie należy uwzględnić obsługę protokołu FC przez środowisko hiperkonwergentne</w:t>
      </w:r>
      <w:r>
        <w:rPr>
          <w:rFonts w:ascii="Palatino Linotype" w:hAnsi="Palatino Linotype" w:cs="Tahoma"/>
          <w:sz w:val="22"/>
          <w:szCs w:val="22"/>
        </w:rPr>
        <w:t>?</w:t>
      </w:r>
    </w:p>
    <w:p w14:paraId="6E4DC7CF"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38F747B6" w14:textId="601E7ECD" w:rsidR="006B1469" w:rsidRDefault="00DA452D" w:rsidP="006B1469">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Zamawiający nie specyfikuje wymagania w zakresie obsługi protokołu FC przez środowisko hiperkonwergentne.</w:t>
      </w:r>
      <w:r w:rsidR="00791526">
        <w:rPr>
          <w:rFonts w:ascii="Palatino Linotype" w:hAnsi="Palatino Linotype" w:cs="Tahoma"/>
          <w:sz w:val="22"/>
          <w:szCs w:val="22"/>
        </w:rPr>
        <w:t xml:space="preserve"> </w:t>
      </w:r>
    </w:p>
    <w:p w14:paraId="77C794B1" w14:textId="77777777" w:rsidR="00791526" w:rsidRDefault="00791526" w:rsidP="006B1469">
      <w:pPr>
        <w:pStyle w:val="Akapitzlist"/>
        <w:spacing w:after="120" w:line="276" w:lineRule="auto"/>
        <w:ind w:left="851"/>
        <w:contextualSpacing w:val="0"/>
        <w:jc w:val="both"/>
        <w:rPr>
          <w:rFonts w:ascii="Palatino Linotype" w:hAnsi="Palatino Linotype" w:cs="Tahoma"/>
          <w:b/>
          <w:bCs/>
          <w:sz w:val="22"/>
          <w:szCs w:val="22"/>
        </w:rPr>
      </w:pPr>
    </w:p>
    <w:p w14:paraId="0186E02C" w14:textId="35B6EE81" w:rsidR="006B1469" w:rsidRPr="006B1469" w:rsidRDefault="006B1469" w:rsidP="006B1469">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20.04.2021 r. – pismo 4:</w:t>
      </w:r>
    </w:p>
    <w:p w14:paraId="6B61D3EE" w14:textId="45E8974B" w:rsidR="006B1469"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27289CC5" w14:textId="77777777" w:rsidR="006B1469" w:rsidRP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OPZ p.5.8 Przełączniki rdzeniowe</w:t>
      </w:r>
    </w:p>
    <w:p w14:paraId="03D7C040" w14:textId="6B845FDD" w:rsidR="006B1469" w:rsidRP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4. Funkcjonalność warstwy L3</w:t>
      </w:r>
      <w:r>
        <w:rPr>
          <w:rFonts w:ascii="Palatino Linotype" w:hAnsi="Palatino Linotype" w:cs="Tahoma"/>
          <w:sz w:val="22"/>
          <w:szCs w:val="22"/>
        </w:rPr>
        <w:t xml:space="preserve">, </w:t>
      </w:r>
      <w:r w:rsidRPr="006B1469">
        <w:rPr>
          <w:rFonts w:ascii="Palatino Linotype" w:hAnsi="Palatino Linotype" w:cs="Tahoma"/>
          <w:sz w:val="22"/>
          <w:szCs w:val="22"/>
        </w:rPr>
        <w:t>podpunkt 8:</w:t>
      </w:r>
      <w:r>
        <w:rPr>
          <w:rFonts w:ascii="Palatino Linotype" w:hAnsi="Palatino Linotype" w:cs="Tahoma"/>
          <w:sz w:val="22"/>
          <w:szCs w:val="22"/>
        </w:rPr>
        <w:t xml:space="preserve"> </w:t>
      </w:r>
      <w:r w:rsidRPr="006B1469">
        <w:rPr>
          <w:rFonts w:ascii="Palatino Linotype" w:hAnsi="Palatino Linotype" w:cs="Tahoma"/>
          <w:sz w:val="22"/>
          <w:szCs w:val="22"/>
        </w:rPr>
        <w:t xml:space="preserve">Wsparcie sprzętowe dla minimum 750 tyś </w:t>
      </w:r>
      <w:proofErr w:type="spellStart"/>
      <w:r w:rsidRPr="006B1469">
        <w:rPr>
          <w:rFonts w:ascii="Palatino Linotype" w:hAnsi="Palatino Linotype" w:cs="Tahoma"/>
          <w:sz w:val="22"/>
          <w:szCs w:val="22"/>
        </w:rPr>
        <w:t>prefixów</w:t>
      </w:r>
      <w:proofErr w:type="spellEnd"/>
      <w:r w:rsidRPr="006B1469">
        <w:rPr>
          <w:rFonts w:ascii="Palatino Linotype" w:hAnsi="Palatino Linotype" w:cs="Tahoma"/>
          <w:sz w:val="22"/>
          <w:szCs w:val="22"/>
        </w:rPr>
        <w:t xml:space="preserve"> LPM/ wpisów hosta w tablicy routingu IP</w:t>
      </w:r>
    </w:p>
    <w:p w14:paraId="06F700C4" w14:textId="77777777" w:rsidR="006B1469" w:rsidRP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Pytanie:</w:t>
      </w:r>
    </w:p>
    <w:p w14:paraId="0700ED38" w14:textId="58DC105D" w:rsid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 xml:space="preserve">Z uwagi na topologię rozwiązania i realizację routingu przez dedykowane urządzenia, prosimy o wyjaśnienie czy Zamawiający dopuści rozwiązanie mające 128 tys. </w:t>
      </w:r>
      <w:proofErr w:type="spellStart"/>
      <w:r w:rsidRPr="006B1469">
        <w:rPr>
          <w:rFonts w:ascii="Palatino Linotype" w:hAnsi="Palatino Linotype" w:cs="Tahoma"/>
          <w:sz w:val="22"/>
          <w:szCs w:val="22"/>
        </w:rPr>
        <w:t>prefixów</w:t>
      </w:r>
      <w:proofErr w:type="spellEnd"/>
      <w:r w:rsidRPr="006B1469">
        <w:rPr>
          <w:rFonts w:ascii="Palatino Linotype" w:hAnsi="Palatino Linotype" w:cs="Tahoma"/>
          <w:sz w:val="22"/>
          <w:szCs w:val="22"/>
        </w:rPr>
        <w:t xml:space="preserve"> LPM/ wpisów hosta w tablicy routingu IP?</w:t>
      </w:r>
    </w:p>
    <w:p w14:paraId="512D5381" w14:textId="77777777" w:rsidR="006B1469" w:rsidRDefault="006B1469" w:rsidP="006B1469">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075747E" w14:textId="77777777"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Zamawiający podtrzymuje zapisy OPZ.  </w:t>
      </w:r>
    </w:p>
    <w:p w14:paraId="52E962AA" w14:textId="77777777" w:rsidR="006B1469" w:rsidRDefault="006B1469" w:rsidP="006B1469">
      <w:pPr>
        <w:pStyle w:val="Akapitzlist"/>
        <w:spacing w:after="120" w:line="276" w:lineRule="auto"/>
        <w:ind w:left="851"/>
        <w:contextualSpacing w:val="0"/>
        <w:jc w:val="both"/>
        <w:rPr>
          <w:rFonts w:ascii="Palatino Linotype" w:hAnsi="Palatino Linotype" w:cs="Tahoma"/>
          <w:b/>
          <w:bCs/>
          <w:sz w:val="22"/>
          <w:szCs w:val="22"/>
        </w:rPr>
      </w:pPr>
    </w:p>
    <w:p w14:paraId="5E7AF5B0" w14:textId="77777777" w:rsidR="006B1469" w:rsidRPr="00023304" w:rsidRDefault="006B1469" w:rsidP="006B1469">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42747ADB" w14:textId="77777777" w:rsidR="006B1469" w:rsidRP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6. Mechanizmy związane z zapewnieniem jakości usług w sieci</w:t>
      </w:r>
    </w:p>
    <w:p w14:paraId="74A657B2" w14:textId="22099684" w:rsidR="006B1469" w:rsidRPr="0003655A" w:rsidRDefault="006B1469" w:rsidP="006B1469">
      <w:pPr>
        <w:pStyle w:val="Akapitzlist"/>
        <w:spacing w:after="60" w:line="276" w:lineRule="auto"/>
        <w:ind w:left="851"/>
        <w:jc w:val="both"/>
        <w:rPr>
          <w:rFonts w:ascii="Palatino Linotype" w:hAnsi="Palatino Linotype" w:cs="Tahoma"/>
          <w:sz w:val="22"/>
          <w:szCs w:val="22"/>
          <w:lang w:val="en-US"/>
        </w:rPr>
      </w:pPr>
      <w:proofErr w:type="spellStart"/>
      <w:r w:rsidRPr="0003655A">
        <w:rPr>
          <w:rFonts w:ascii="Palatino Linotype" w:hAnsi="Palatino Linotype" w:cs="Tahoma"/>
          <w:sz w:val="22"/>
          <w:szCs w:val="22"/>
          <w:lang w:val="en-US"/>
        </w:rPr>
        <w:t>podpunkt</w:t>
      </w:r>
      <w:proofErr w:type="spellEnd"/>
      <w:r w:rsidRPr="0003655A">
        <w:rPr>
          <w:rFonts w:ascii="Palatino Linotype" w:hAnsi="Palatino Linotype" w:cs="Tahoma"/>
          <w:sz w:val="22"/>
          <w:szCs w:val="22"/>
          <w:lang w:val="en-US"/>
        </w:rPr>
        <w:t xml:space="preserve"> 7: </w:t>
      </w:r>
      <w:proofErr w:type="spellStart"/>
      <w:r w:rsidRPr="0003655A">
        <w:rPr>
          <w:rFonts w:ascii="Palatino Linotype" w:hAnsi="Palatino Linotype" w:cs="Tahoma"/>
          <w:sz w:val="22"/>
          <w:szCs w:val="22"/>
          <w:lang w:val="en-US"/>
        </w:rPr>
        <w:t>Protokół</w:t>
      </w:r>
      <w:proofErr w:type="spellEnd"/>
      <w:r w:rsidRPr="0003655A">
        <w:rPr>
          <w:rFonts w:ascii="Palatino Linotype" w:hAnsi="Palatino Linotype" w:cs="Tahoma"/>
          <w:sz w:val="22"/>
          <w:szCs w:val="22"/>
          <w:lang w:val="en-US"/>
        </w:rPr>
        <w:t xml:space="preserve"> PFC (Priority Flow Control) IEEE 802.1Qbb</w:t>
      </w:r>
    </w:p>
    <w:p w14:paraId="2C7F47CB" w14:textId="77777777" w:rsidR="006B1469" w:rsidRP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 xml:space="preserve">Pytanie: </w:t>
      </w:r>
    </w:p>
    <w:p w14:paraId="0D6CA624" w14:textId="1D9E583C" w:rsidR="006B1469" w:rsidRDefault="006B1469" w:rsidP="006B1469">
      <w:pPr>
        <w:pStyle w:val="Akapitzlist"/>
        <w:spacing w:after="60" w:line="276" w:lineRule="auto"/>
        <w:ind w:left="851"/>
        <w:jc w:val="both"/>
        <w:rPr>
          <w:rFonts w:ascii="Palatino Linotype" w:hAnsi="Palatino Linotype" w:cs="Tahoma"/>
          <w:sz w:val="22"/>
          <w:szCs w:val="22"/>
        </w:rPr>
      </w:pPr>
      <w:r w:rsidRPr="006B1469">
        <w:rPr>
          <w:rFonts w:ascii="Palatino Linotype" w:hAnsi="Palatino Linotype" w:cs="Tahoma"/>
          <w:sz w:val="22"/>
          <w:szCs w:val="22"/>
        </w:rPr>
        <w:t>Czy zamawiający zrezygnuje z wymagania: Protokół PFC (</w:t>
      </w:r>
      <w:proofErr w:type="spellStart"/>
      <w:r w:rsidRPr="006B1469">
        <w:rPr>
          <w:rFonts w:ascii="Palatino Linotype" w:hAnsi="Palatino Linotype" w:cs="Tahoma"/>
          <w:sz w:val="22"/>
          <w:szCs w:val="22"/>
        </w:rPr>
        <w:t>Priority</w:t>
      </w:r>
      <w:proofErr w:type="spellEnd"/>
      <w:r w:rsidRPr="006B1469">
        <w:rPr>
          <w:rFonts w:ascii="Palatino Linotype" w:hAnsi="Palatino Linotype" w:cs="Tahoma"/>
          <w:sz w:val="22"/>
          <w:szCs w:val="22"/>
        </w:rPr>
        <w:t xml:space="preserve"> </w:t>
      </w:r>
      <w:proofErr w:type="spellStart"/>
      <w:r w:rsidRPr="006B1469">
        <w:rPr>
          <w:rFonts w:ascii="Palatino Linotype" w:hAnsi="Palatino Linotype" w:cs="Tahoma"/>
          <w:sz w:val="22"/>
          <w:szCs w:val="22"/>
        </w:rPr>
        <w:t>Flow</w:t>
      </w:r>
      <w:proofErr w:type="spellEnd"/>
      <w:r w:rsidRPr="006B1469">
        <w:rPr>
          <w:rFonts w:ascii="Palatino Linotype" w:hAnsi="Palatino Linotype" w:cs="Tahoma"/>
          <w:sz w:val="22"/>
          <w:szCs w:val="22"/>
        </w:rPr>
        <w:t xml:space="preserve"> Control) IEEE 802.1Qbb</w:t>
      </w:r>
      <w:r>
        <w:rPr>
          <w:rFonts w:ascii="Palatino Linotype" w:hAnsi="Palatino Linotype" w:cs="Tahoma"/>
          <w:sz w:val="22"/>
          <w:szCs w:val="22"/>
        </w:rPr>
        <w:t>?</w:t>
      </w:r>
    </w:p>
    <w:p w14:paraId="7FCD91A9" w14:textId="77777777" w:rsidR="00314BFE" w:rsidRDefault="00314BFE" w:rsidP="00314B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254F2A76" w14:textId="77777777"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Protokół PFC ma zastosowanie w Centrach Danych, a zatem Zamawiający podtrzymuje zapisy OPZ.  </w:t>
      </w:r>
    </w:p>
    <w:p w14:paraId="0C59F164" w14:textId="77777777" w:rsidR="00314BFE" w:rsidRDefault="00314BFE" w:rsidP="00314BFE">
      <w:pPr>
        <w:pStyle w:val="Akapitzlist"/>
        <w:spacing w:after="120" w:line="276" w:lineRule="auto"/>
        <w:ind w:left="851"/>
        <w:contextualSpacing w:val="0"/>
        <w:jc w:val="both"/>
        <w:rPr>
          <w:rFonts w:ascii="Palatino Linotype" w:hAnsi="Palatino Linotype" w:cs="Tahoma"/>
          <w:b/>
          <w:bCs/>
          <w:sz w:val="22"/>
          <w:szCs w:val="22"/>
        </w:rPr>
      </w:pPr>
    </w:p>
    <w:p w14:paraId="718E3981" w14:textId="77777777" w:rsidR="00314BFE" w:rsidRPr="00023304" w:rsidRDefault="00314BFE" w:rsidP="00314BFE">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4A905B44"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7. Mechanizmy związane z zapewnieniem jakości usług w sieci</w:t>
      </w:r>
    </w:p>
    <w:p w14:paraId="62E72B21" w14:textId="6C2636A6" w:rsidR="00314BFE" w:rsidRPr="0003655A" w:rsidRDefault="00314BFE" w:rsidP="00314BFE">
      <w:pPr>
        <w:pStyle w:val="Akapitzlist"/>
        <w:spacing w:after="60" w:line="276" w:lineRule="auto"/>
        <w:ind w:left="851"/>
        <w:jc w:val="both"/>
        <w:rPr>
          <w:rFonts w:ascii="Palatino Linotype" w:hAnsi="Palatino Linotype" w:cs="Tahoma"/>
          <w:sz w:val="22"/>
          <w:szCs w:val="22"/>
          <w:lang w:val="en-US"/>
        </w:rPr>
      </w:pPr>
      <w:proofErr w:type="spellStart"/>
      <w:r w:rsidRPr="0003655A">
        <w:rPr>
          <w:rFonts w:ascii="Palatino Linotype" w:hAnsi="Palatino Linotype" w:cs="Tahoma"/>
          <w:sz w:val="22"/>
          <w:szCs w:val="22"/>
          <w:lang w:val="en-US"/>
        </w:rPr>
        <w:t>podpunkt</w:t>
      </w:r>
      <w:proofErr w:type="spellEnd"/>
      <w:r w:rsidRPr="0003655A">
        <w:rPr>
          <w:rFonts w:ascii="Palatino Linotype" w:hAnsi="Palatino Linotype" w:cs="Tahoma"/>
          <w:sz w:val="22"/>
          <w:szCs w:val="22"/>
          <w:lang w:val="en-US"/>
        </w:rPr>
        <w:t xml:space="preserve"> 5: Unicast reverse path forwarding (uRPF)</w:t>
      </w:r>
    </w:p>
    <w:p w14:paraId="596E8474"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 xml:space="preserve">Pytanie: </w:t>
      </w:r>
    </w:p>
    <w:p w14:paraId="5EABB93B" w14:textId="7CC563CD" w:rsid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lastRenderedPageBreak/>
        <w:t xml:space="preserve">Z uwagi na topologię rozwiązania i realizację routingu przez dedykowane urządzenia, prosimy o wyjaśnienie czy Zamawiający dopuści rozwiązanie bez wsparcia dla </w:t>
      </w:r>
      <w:proofErr w:type="spellStart"/>
      <w:r w:rsidRPr="00314BFE">
        <w:rPr>
          <w:rFonts w:ascii="Palatino Linotype" w:hAnsi="Palatino Linotype" w:cs="Tahoma"/>
          <w:sz w:val="22"/>
          <w:szCs w:val="22"/>
        </w:rPr>
        <w:t>unicast</w:t>
      </w:r>
      <w:proofErr w:type="spellEnd"/>
      <w:r w:rsidRPr="00314BFE">
        <w:rPr>
          <w:rFonts w:ascii="Palatino Linotype" w:hAnsi="Palatino Linotype" w:cs="Tahoma"/>
          <w:sz w:val="22"/>
          <w:szCs w:val="22"/>
        </w:rPr>
        <w:t xml:space="preserve"> </w:t>
      </w:r>
      <w:proofErr w:type="spellStart"/>
      <w:r w:rsidRPr="00314BFE">
        <w:rPr>
          <w:rFonts w:ascii="Palatino Linotype" w:hAnsi="Palatino Linotype" w:cs="Tahoma"/>
          <w:sz w:val="22"/>
          <w:szCs w:val="22"/>
        </w:rPr>
        <w:t>reverse</w:t>
      </w:r>
      <w:proofErr w:type="spellEnd"/>
      <w:r w:rsidRPr="00314BFE">
        <w:rPr>
          <w:rFonts w:ascii="Palatino Linotype" w:hAnsi="Palatino Linotype" w:cs="Tahoma"/>
          <w:sz w:val="22"/>
          <w:szCs w:val="22"/>
        </w:rPr>
        <w:t xml:space="preserve"> </w:t>
      </w:r>
      <w:proofErr w:type="spellStart"/>
      <w:r w:rsidRPr="00314BFE">
        <w:rPr>
          <w:rFonts w:ascii="Palatino Linotype" w:hAnsi="Palatino Linotype" w:cs="Tahoma"/>
          <w:sz w:val="22"/>
          <w:szCs w:val="22"/>
        </w:rPr>
        <w:t>path</w:t>
      </w:r>
      <w:proofErr w:type="spellEnd"/>
      <w:r w:rsidRPr="00314BFE">
        <w:rPr>
          <w:rFonts w:ascii="Palatino Linotype" w:hAnsi="Palatino Linotype" w:cs="Tahoma"/>
          <w:sz w:val="22"/>
          <w:szCs w:val="22"/>
        </w:rPr>
        <w:t xml:space="preserve"> </w:t>
      </w:r>
      <w:proofErr w:type="spellStart"/>
      <w:r w:rsidRPr="00314BFE">
        <w:rPr>
          <w:rFonts w:ascii="Palatino Linotype" w:hAnsi="Palatino Linotype" w:cs="Tahoma"/>
          <w:sz w:val="22"/>
          <w:szCs w:val="22"/>
        </w:rPr>
        <w:t>forwarding</w:t>
      </w:r>
      <w:proofErr w:type="spellEnd"/>
      <w:r w:rsidRPr="00314BFE">
        <w:rPr>
          <w:rFonts w:ascii="Palatino Linotype" w:hAnsi="Palatino Linotype" w:cs="Tahoma"/>
          <w:sz w:val="22"/>
          <w:szCs w:val="22"/>
        </w:rPr>
        <w:t xml:space="preserve"> (</w:t>
      </w:r>
      <w:proofErr w:type="spellStart"/>
      <w:r w:rsidRPr="00314BFE">
        <w:rPr>
          <w:rFonts w:ascii="Palatino Linotype" w:hAnsi="Palatino Linotype" w:cs="Tahoma"/>
          <w:sz w:val="22"/>
          <w:szCs w:val="22"/>
        </w:rPr>
        <w:t>uRPF</w:t>
      </w:r>
      <w:proofErr w:type="spellEnd"/>
      <w:r w:rsidRPr="00314BFE">
        <w:rPr>
          <w:rFonts w:ascii="Palatino Linotype" w:hAnsi="Palatino Linotype" w:cs="Tahoma"/>
          <w:sz w:val="22"/>
          <w:szCs w:val="22"/>
        </w:rPr>
        <w:t>)?</w:t>
      </w:r>
    </w:p>
    <w:p w14:paraId="5841331B" w14:textId="77777777" w:rsidR="00314BFE" w:rsidRDefault="00314BFE" w:rsidP="00314B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267C1A13" w14:textId="77777777"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 xml:space="preserve">Zamawiający podtrzymuje zapisy OPZ. Protokół </w:t>
      </w:r>
      <w:proofErr w:type="spellStart"/>
      <w:r w:rsidRPr="00791526">
        <w:rPr>
          <w:rFonts w:ascii="Palatino Linotype" w:hAnsi="Palatino Linotype" w:cs="Tahoma"/>
          <w:sz w:val="22"/>
          <w:szCs w:val="22"/>
        </w:rPr>
        <w:t>uRPF</w:t>
      </w:r>
      <w:proofErr w:type="spellEnd"/>
      <w:r w:rsidRPr="00791526">
        <w:rPr>
          <w:rFonts w:ascii="Palatino Linotype" w:hAnsi="Palatino Linotype" w:cs="Tahoma"/>
          <w:sz w:val="22"/>
          <w:szCs w:val="22"/>
        </w:rPr>
        <w:t xml:space="preserve"> jest wymagany ze względu na konieczność zapewnienia niezawodności i wysokiej dostępności sieci poprzez eliminację pętli. </w:t>
      </w:r>
    </w:p>
    <w:p w14:paraId="58527A0F" w14:textId="77777777" w:rsidR="00314BFE" w:rsidRDefault="00314BFE" w:rsidP="00314BFE">
      <w:pPr>
        <w:pStyle w:val="Akapitzlist"/>
        <w:spacing w:after="120" w:line="276" w:lineRule="auto"/>
        <w:ind w:left="851"/>
        <w:contextualSpacing w:val="0"/>
        <w:jc w:val="both"/>
        <w:rPr>
          <w:rFonts w:ascii="Palatino Linotype" w:hAnsi="Palatino Linotype" w:cs="Tahoma"/>
          <w:b/>
          <w:bCs/>
          <w:sz w:val="22"/>
          <w:szCs w:val="22"/>
        </w:rPr>
      </w:pPr>
    </w:p>
    <w:p w14:paraId="6F2176D3" w14:textId="77777777" w:rsidR="00314BFE" w:rsidRPr="00023304" w:rsidRDefault="00314BFE" w:rsidP="00314BFE">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3C09DCAD"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8. Funkcjonalności dla obszaru zarządzania i zabezpieczenia przełącznika</w:t>
      </w:r>
    </w:p>
    <w:p w14:paraId="48B99C63" w14:textId="62B1FA81"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podpunkt 10:</w:t>
      </w:r>
      <w:r>
        <w:rPr>
          <w:rFonts w:ascii="Palatino Linotype" w:hAnsi="Palatino Linotype" w:cs="Tahoma"/>
          <w:sz w:val="22"/>
          <w:szCs w:val="22"/>
        </w:rPr>
        <w:t xml:space="preserve"> </w:t>
      </w:r>
      <w:r w:rsidRPr="00314BFE">
        <w:rPr>
          <w:rFonts w:ascii="Palatino Linotype" w:hAnsi="Palatino Linotype" w:cs="Tahoma"/>
          <w:sz w:val="22"/>
          <w:szCs w:val="22"/>
        </w:rPr>
        <w:t>Telemetria w oparciu o mechanizm subskrypcji (</w:t>
      </w:r>
      <w:proofErr w:type="spellStart"/>
      <w:r w:rsidRPr="00314BFE">
        <w:rPr>
          <w:rFonts w:ascii="Palatino Linotype" w:hAnsi="Palatino Linotype" w:cs="Tahoma"/>
          <w:sz w:val="22"/>
          <w:szCs w:val="22"/>
        </w:rPr>
        <w:t>push</w:t>
      </w:r>
      <w:proofErr w:type="spellEnd"/>
      <w:r w:rsidRPr="00314BFE">
        <w:rPr>
          <w:rFonts w:ascii="Palatino Linotype" w:hAnsi="Palatino Linotype" w:cs="Tahoma"/>
          <w:sz w:val="22"/>
          <w:szCs w:val="22"/>
        </w:rPr>
        <w:t xml:space="preserve"> out), zapewniający alter-natywny do SNMP, szybszy mechanizm (min. co 30s) zbierania informacji z przełącznika poprzez protokoły </w:t>
      </w:r>
      <w:proofErr w:type="spellStart"/>
      <w:r w:rsidRPr="00314BFE">
        <w:rPr>
          <w:rFonts w:ascii="Palatino Linotype" w:hAnsi="Palatino Linotype" w:cs="Tahoma"/>
          <w:sz w:val="22"/>
          <w:szCs w:val="22"/>
        </w:rPr>
        <w:t>gRPC</w:t>
      </w:r>
      <w:proofErr w:type="spellEnd"/>
      <w:r w:rsidRPr="00314BFE">
        <w:rPr>
          <w:rFonts w:ascii="Palatino Linotype" w:hAnsi="Palatino Linotype" w:cs="Tahoma"/>
          <w:sz w:val="22"/>
          <w:szCs w:val="22"/>
        </w:rPr>
        <w:t xml:space="preserve"> lub GPB.</w:t>
      </w:r>
    </w:p>
    <w:p w14:paraId="13B14DB8"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Pytanie:</w:t>
      </w:r>
    </w:p>
    <w:p w14:paraId="3B92A9E8" w14:textId="60E4184E" w:rsid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Tak opisana telemetria wskazuje na jednego producenta, czy zamawiający dopuści rozwiązania umożliwiające telemetrię na podobnym mechanizmie?</w:t>
      </w:r>
    </w:p>
    <w:p w14:paraId="10FF1451" w14:textId="77777777" w:rsidR="00314BFE" w:rsidRDefault="00314BFE" w:rsidP="00314B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7DF0C70D" w14:textId="77777777"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Zamawiający podtrzymuje zapisy OPZ </w:t>
      </w:r>
    </w:p>
    <w:p w14:paraId="24BB28EA" w14:textId="77777777" w:rsidR="00314BFE" w:rsidRDefault="00314BFE" w:rsidP="00314BFE">
      <w:pPr>
        <w:pStyle w:val="Akapitzlist"/>
        <w:spacing w:after="120" w:line="276" w:lineRule="auto"/>
        <w:ind w:left="851"/>
        <w:contextualSpacing w:val="0"/>
        <w:jc w:val="both"/>
        <w:rPr>
          <w:rFonts w:ascii="Palatino Linotype" w:hAnsi="Palatino Linotype" w:cs="Tahoma"/>
          <w:b/>
          <w:bCs/>
          <w:sz w:val="22"/>
          <w:szCs w:val="22"/>
        </w:rPr>
      </w:pPr>
    </w:p>
    <w:p w14:paraId="3B1D6968" w14:textId="77777777" w:rsidR="00314BFE" w:rsidRPr="00023304" w:rsidRDefault="00314BFE" w:rsidP="00314BFE">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5DB525FD" w14:textId="4BE9B9BB"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podpunkt 15:</w:t>
      </w:r>
      <w:r>
        <w:rPr>
          <w:rFonts w:ascii="Palatino Linotype" w:hAnsi="Palatino Linotype" w:cs="Tahoma"/>
          <w:sz w:val="22"/>
          <w:szCs w:val="22"/>
        </w:rPr>
        <w:t xml:space="preserve"> </w:t>
      </w:r>
      <w:r w:rsidRPr="00314BFE">
        <w:rPr>
          <w:rFonts w:ascii="Palatino Linotype" w:hAnsi="Palatino Linotype" w:cs="Tahoma"/>
          <w:sz w:val="22"/>
          <w:szCs w:val="22"/>
        </w:rPr>
        <w:t>Ograniczanie ruchu kierowanego do warstwy sterowania (</w:t>
      </w:r>
      <w:proofErr w:type="spellStart"/>
      <w:r w:rsidRPr="00314BFE">
        <w:rPr>
          <w:rFonts w:ascii="Palatino Linotype" w:hAnsi="Palatino Linotype" w:cs="Tahoma"/>
          <w:sz w:val="22"/>
          <w:szCs w:val="22"/>
        </w:rPr>
        <w:t>control</w:t>
      </w:r>
      <w:proofErr w:type="spellEnd"/>
      <w:r w:rsidRPr="00314BFE">
        <w:rPr>
          <w:rFonts w:ascii="Palatino Linotype" w:hAnsi="Palatino Linotype" w:cs="Tahoma"/>
          <w:sz w:val="22"/>
          <w:szCs w:val="22"/>
        </w:rPr>
        <w:t xml:space="preserve"> </w:t>
      </w:r>
      <w:proofErr w:type="spellStart"/>
      <w:r w:rsidRPr="00314BFE">
        <w:rPr>
          <w:rFonts w:ascii="Palatino Linotype" w:hAnsi="Palatino Linotype" w:cs="Tahoma"/>
          <w:sz w:val="22"/>
          <w:szCs w:val="22"/>
        </w:rPr>
        <w:t>plane</w:t>
      </w:r>
      <w:proofErr w:type="spellEnd"/>
      <w:r w:rsidRPr="00314BFE">
        <w:rPr>
          <w:rFonts w:ascii="Palatino Linotype" w:hAnsi="Palatino Linotype" w:cs="Tahoma"/>
          <w:sz w:val="22"/>
          <w:szCs w:val="22"/>
        </w:rPr>
        <w:t xml:space="preserve"> </w:t>
      </w:r>
      <w:proofErr w:type="spellStart"/>
      <w:r w:rsidRPr="00314BFE">
        <w:rPr>
          <w:rFonts w:ascii="Palatino Linotype" w:hAnsi="Palatino Linotype" w:cs="Tahoma"/>
          <w:sz w:val="22"/>
          <w:szCs w:val="22"/>
        </w:rPr>
        <w:t>policing</w:t>
      </w:r>
      <w:proofErr w:type="spellEnd"/>
      <w:r w:rsidRPr="00314BFE">
        <w:rPr>
          <w:rFonts w:ascii="Palatino Linotype" w:hAnsi="Palatino Linotype" w:cs="Tahoma"/>
          <w:sz w:val="22"/>
          <w:szCs w:val="22"/>
        </w:rPr>
        <w:t>)</w:t>
      </w:r>
    </w:p>
    <w:p w14:paraId="097F3CFF"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Pytanie:</w:t>
      </w:r>
    </w:p>
    <w:p w14:paraId="29854254" w14:textId="3793F45B" w:rsid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Tak opisane Ograniczanie ruchu kierowanego do warstwy sterowania wskazuje na jednego producenta, czy zamawiający dopuści rozwiązanie umożliwiające Ograniczanie ruchu kierowanego do warstwy sterowania oparte na podobnym mechanizmie?</w:t>
      </w:r>
    </w:p>
    <w:p w14:paraId="098D09CD" w14:textId="77777777" w:rsidR="00314BFE" w:rsidRDefault="00314BFE" w:rsidP="00314B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7F38806" w14:textId="4D999555"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Zamawiający wymaga zaoferowania przełącznika posiadającego funkcjonalność ograniczenia ruchu kierowanego warstwy sterowania. Nie mniej jednak Zamawiający modyfikuje OPZ w rozdziale 5.8 Przełączniki rdzeniowe punkt 8 podpunkt 15 </w:t>
      </w:r>
    </w:p>
    <w:p w14:paraId="02BDBC44" w14:textId="77777777" w:rsidR="00314BFE" w:rsidRDefault="00314BFE" w:rsidP="00314BFE">
      <w:pPr>
        <w:pStyle w:val="Akapitzlist"/>
        <w:spacing w:after="120" w:line="276" w:lineRule="auto"/>
        <w:ind w:left="851"/>
        <w:contextualSpacing w:val="0"/>
        <w:jc w:val="both"/>
        <w:rPr>
          <w:rFonts w:ascii="Palatino Linotype" w:hAnsi="Palatino Linotype" w:cs="Tahoma"/>
          <w:b/>
          <w:bCs/>
          <w:sz w:val="22"/>
          <w:szCs w:val="22"/>
        </w:rPr>
      </w:pPr>
    </w:p>
    <w:p w14:paraId="43EC386C" w14:textId="77777777" w:rsidR="00314BFE" w:rsidRPr="00023304" w:rsidRDefault="00314BFE" w:rsidP="00314BFE">
      <w:pPr>
        <w:pStyle w:val="Akapitzlist"/>
        <w:numPr>
          <w:ilvl w:val="1"/>
          <w:numId w:val="35"/>
        </w:numPr>
        <w:spacing w:after="60" w:line="276" w:lineRule="auto"/>
        <w:ind w:left="1134" w:hanging="284"/>
        <w:contextualSpacing w:val="0"/>
        <w:jc w:val="both"/>
        <w:rPr>
          <w:rFonts w:ascii="Palatino Linotype" w:hAnsi="Palatino Linotype" w:cs="Tahoma"/>
          <w:sz w:val="22"/>
          <w:szCs w:val="22"/>
        </w:rPr>
      </w:pPr>
      <w:r>
        <w:rPr>
          <w:rFonts w:ascii="Palatino Linotype" w:hAnsi="Palatino Linotype" w:cs="Tahoma"/>
          <w:b/>
          <w:bCs/>
          <w:sz w:val="22"/>
          <w:szCs w:val="22"/>
        </w:rPr>
        <w:t>Pytanie:</w:t>
      </w:r>
    </w:p>
    <w:p w14:paraId="07B6A5D7"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9. Narzędzia programowania i zarządzania przełącznikiem</w:t>
      </w:r>
    </w:p>
    <w:p w14:paraId="25E29990" w14:textId="1AC965D2"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Podpunkt 1:</w:t>
      </w:r>
      <w:r>
        <w:rPr>
          <w:rFonts w:ascii="Palatino Linotype" w:hAnsi="Palatino Linotype" w:cs="Tahoma"/>
          <w:sz w:val="22"/>
          <w:szCs w:val="22"/>
        </w:rPr>
        <w:t xml:space="preserve"> </w:t>
      </w:r>
      <w:r w:rsidRPr="00314BFE">
        <w:rPr>
          <w:rFonts w:ascii="Palatino Linotype" w:hAnsi="Palatino Linotype" w:cs="Tahoma"/>
          <w:sz w:val="22"/>
          <w:szCs w:val="22"/>
        </w:rPr>
        <w:t xml:space="preserve">Wbudowana powłoka </w:t>
      </w:r>
      <w:proofErr w:type="spellStart"/>
      <w:r w:rsidRPr="00314BFE">
        <w:rPr>
          <w:rFonts w:ascii="Palatino Linotype" w:hAnsi="Palatino Linotype" w:cs="Tahoma"/>
          <w:sz w:val="22"/>
          <w:szCs w:val="22"/>
        </w:rPr>
        <w:t>Bash</w:t>
      </w:r>
      <w:proofErr w:type="spellEnd"/>
      <w:r w:rsidRPr="00314BFE">
        <w:rPr>
          <w:rFonts w:ascii="Palatino Linotype" w:hAnsi="Palatino Linotype" w:cs="Tahoma"/>
          <w:sz w:val="22"/>
          <w:szCs w:val="22"/>
        </w:rPr>
        <w:t xml:space="preserve"> do zarządzania systemem Unix/Linux przełącznika</w:t>
      </w:r>
    </w:p>
    <w:p w14:paraId="0129ED6D" w14:textId="77777777" w:rsidR="00314BFE" w:rsidRP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t>Pytanie:</w:t>
      </w:r>
    </w:p>
    <w:p w14:paraId="42121030" w14:textId="3B53E263" w:rsidR="00314BFE" w:rsidRDefault="00314BFE" w:rsidP="00314BFE">
      <w:pPr>
        <w:pStyle w:val="Akapitzlist"/>
        <w:spacing w:after="60" w:line="276" w:lineRule="auto"/>
        <w:ind w:left="851"/>
        <w:jc w:val="both"/>
        <w:rPr>
          <w:rFonts w:ascii="Palatino Linotype" w:hAnsi="Palatino Linotype" w:cs="Tahoma"/>
          <w:sz w:val="22"/>
          <w:szCs w:val="22"/>
        </w:rPr>
      </w:pPr>
      <w:r w:rsidRPr="00314BFE">
        <w:rPr>
          <w:rFonts w:ascii="Palatino Linotype" w:hAnsi="Palatino Linotype" w:cs="Tahoma"/>
          <w:sz w:val="22"/>
          <w:szCs w:val="22"/>
        </w:rPr>
        <w:lastRenderedPageBreak/>
        <w:t xml:space="preserve">Czy mając do dyspozycji zarządzanie/programowanie z CLI na systemie operacyjnym opartym na Linux zamawiający dopuści rozwiązanie bez wbudowanej powłoki </w:t>
      </w:r>
      <w:proofErr w:type="spellStart"/>
      <w:r w:rsidRPr="00314BFE">
        <w:rPr>
          <w:rFonts w:ascii="Palatino Linotype" w:hAnsi="Palatino Linotype" w:cs="Tahoma"/>
          <w:sz w:val="22"/>
          <w:szCs w:val="22"/>
        </w:rPr>
        <w:t>Bash</w:t>
      </w:r>
      <w:proofErr w:type="spellEnd"/>
      <w:r w:rsidRPr="00314BFE">
        <w:rPr>
          <w:rFonts w:ascii="Palatino Linotype" w:hAnsi="Palatino Linotype" w:cs="Tahoma"/>
          <w:sz w:val="22"/>
          <w:szCs w:val="22"/>
        </w:rPr>
        <w:t xml:space="preserve"> do zarządzania systemem Unix/Linux przełącznika</w:t>
      </w:r>
      <w:r>
        <w:rPr>
          <w:rFonts w:ascii="Palatino Linotype" w:hAnsi="Palatino Linotype" w:cs="Tahoma"/>
          <w:sz w:val="22"/>
          <w:szCs w:val="22"/>
        </w:rPr>
        <w:t>?</w:t>
      </w:r>
    </w:p>
    <w:p w14:paraId="5C896EB7" w14:textId="77777777" w:rsidR="00314BFE" w:rsidRDefault="00314BFE" w:rsidP="00314BFE">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604BF76" w14:textId="2950C150" w:rsidR="00DA452D" w:rsidRDefault="00DA452D" w:rsidP="3DFD1CFE">
      <w:pPr>
        <w:pStyle w:val="Akapitzlist"/>
        <w:spacing w:after="120" w:line="276" w:lineRule="auto"/>
        <w:ind w:left="851"/>
        <w:jc w:val="both"/>
        <w:rPr>
          <w:rFonts w:ascii="Palatino Linotype" w:hAnsi="Palatino Linotype" w:cs="Tahoma"/>
          <w:sz w:val="22"/>
          <w:szCs w:val="22"/>
        </w:rPr>
      </w:pPr>
      <w:r w:rsidRPr="3DFD1CFE">
        <w:rPr>
          <w:rFonts w:ascii="Palatino Linotype" w:hAnsi="Palatino Linotype" w:cs="Tahoma"/>
          <w:sz w:val="22"/>
          <w:szCs w:val="22"/>
        </w:rPr>
        <w:t xml:space="preserve">Zamawiający dopuszcza rozwiązanie, w którym powłoka </w:t>
      </w:r>
      <w:proofErr w:type="spellStart"/>
      <w:r w:rsidRPr="3DFD1CFE">
        <w:rPr>
          <w:rFonts w:ascii="Palatino Linotype" w:hAnsi="Palatino Linotype" w:cs="Tahoma"/>
          <w:sz w:val="22"/>
          <w:szCs w:val="22"/>
        </w:rPr>
        <w:t>Baush</w:t>
      </w:r>
      <w:proofErr w:type="spellEnd"/>
      <w:r w:rsidRPr="3DFD1CFE">
        <w:rPr>
          <w:rFonts w:ascii="Palatino Linotype" w:hAnsi="Palatino Linotype" w:cs="Tahoma"/>
          <w:sz w:val="22"/>
          <w:szCs w:val="22"/>
        </w:rPr>
        <w:t xml:space="preserve"> do zarządzania systemami Unix/Linux jest wbudowana bezpośrednio lub instalowana jako dodatkowy moduł. </w:t>
      </w:r>
      <w:r w:rsidR="15DC2B02" w:rsidRPr="3DFD1CFE">
        <w:rPr>
          <w:rFonts w:ascii="Palatino Linotype" w:hAnsi="Palatino Linotype" w:cs="Tahoma"/>
          <w:sz w:val="22"/>
          <w:szCs w:val="22"/>
        </w:rPr>
        <w:t xml:space="preserve"> Zamawiający modyfikuje OPZ w rozdziale 5.8 Przełączniki rdzeniowe punkt 9 podpunkt 1</w:t>
      </w:r>
    </w:p>
    <w:p w14:paraId="1F694E88" w14:textId="77777777" w:rsidR="00314BFE" w:rsidRDefault="00314BFE" w:rsidP="00314BFE">
      <w:pPr>
        <w:pStyle w:val="Akapitzlist"/>
        <w:spacing w:after="120" w:line="276" w:lineRule="auto"/>
        <w:ind w:left="851"/>
        <w:contextualSpacing w:val="0"/>
        <w:jc w:val="both"/>
        <w:rPr>
          <w:rFonts w:ascii="Palatino Linotype" w:hAnsi="Palatino Linotype" w:cs="Tahoma"/>
          <w:b/>
          <w:bCs/>
          <w:sz w:val="22"/>
          <w:szCs w:val="22"/>
        </w:rPr>
      </w:pPr>
    </w:p>
    <w:p w14:paraId="25F66809" w14:textId="768792F7" w:rsidR="00314BFE" w:rsidRPr="006B1469" w:rsidRDefault="00314BFE" w:rsidP="00314BFE">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20.04.2021 r. – pismo 5:</w:t>
      </w:r>
    </w:p>
    <w:p w14:paraId="7901F6AF" w14:textId="77777777" w:rsidR="00314BFE" w:rsidRDefault="00314BFE" w:rsidP="00314BFE">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7EE4F2CA" w14:textId="4D6AA977" w:rsidR="0038124D" w:rsidRPr="0038124D" w:rsidRDefault="0038124D" w:rsidP="0038124D">
      <w:pPr>
        <w:pStyle w:val="Akapitzlist"/>
        <w:spacing w:after="60" w:line="276" w:lineRule="auto"/>
        <w:ind w:left="851"/>
        <w:jc w:val="both"/>
        <w:rPr>
          <w:rFonts w:ascii="Palatino Linotype" w:hAnsi="Palatino Linotype" w:cs="Tahoma"/>
          <w:sz w:val="22"/>
          <w:szCs w:val="22"/>
        </w:rPr>
      </w:pPr>
      <w:r>
        <w:rPr>
          <w:rFonts w:ascii="Palatino Linotype" w:hAnsi="Palatino Linotype" w:cs="Tahoma"/>
          <w:sz w:val="22"/>
          <w:szCs w:val="22"/>
        </w:rPr>
        <w:t xml:space="preserve">1. </w:t>
      </w:r>
      <w:r w:rsidRPr="0038124D">
        <w:rPr>
          <w:rFonts w:ascii="Palatino Linotype" w:hAnsi="Palatino Linotype" w:cs="Tahoma"/>
          <w:sz w:val="22"/>
          <w:szCs w:val="22"/>
        </w:rPr>
        <w:t>Zgodnie z treścią SWZ (w szczególności rozdz. 7 OPZ) Zamawiający dopuszcza rozwiązania równoważne. Prosimy o potwierdzenie, że poniżej przedstawione rozwiązania firmy Cisco zostaną dopuszczone przez Zamawiającego jako rozwiązania równoważne:</w:t>
      </w:r>
    </w:p>
    <w:p w14:paraId="1C20B32E" w14:textId="23F48E38" w:rsidR="00314BFE"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sz w:val="22"/>
          <w:szCs w:val="22"/>
        </w:rPr>
        <w:t>1.1. środowiska Cisco HCI jako platformy hiperkonwergentnej posiadającej następującą specyfikację</w:t>
      </w:r>
      <w:r>
        <w:rPr>
          <w:rFonts w:ascii="Palatino Linotype" w:hAnsi="Palatino Linotype" w:cs="Tahoma"/>
          <w:sz w:val="22"/>
          <w:szCs w:val="22"/>
        </w:rPr>
        <w:t>:</w:t>
      </w:r>
    </w:p>
    <w:p w14:paraId="7800BD07" w14:textId="41CAA60E"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drawing>
          <wp:inline distT="0" distB="0" distL="0" distR="0" wp14:anchorId="232E3A5B" wp14:editId="426F4584">
            <wp:extent cx="5759450" cy="49364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936490"/>
                    </a:xfrm>
                    <a:prstGeom prst="rect">
                      <a:avLst/>
                    </a:prstGeom>
                    <a:noFill/>
                    <a:ln>
                      <a:noFill/>
                    </a:ln>
                  </pic:spPr>
                </pic:pic>
              </a:graphicData>
            </a:graphic>
          </wp:inline>
        </w:drawing>
      </w:r>
    </w:p>
    <w:p w14:paraId="165148DF" w14:textId="3C8BD258"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41A13DC5" wp14:editId="79C603C7">
            <wp:extent cx="5759450" cy="835342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353425"/>
                    </a:xfrm>
                    <a:prstGeom prst="rect">
                      <a:avLst/>
                    </a:prstGeom>
                    <a:noFill/>
                    <a:ln>
                      <a:noFill/>
                    </a:ln>
                  </pic:spPr>
                </pic:pic>
              </a:graphicData>
            </a:graphic>
          </wp:inline>
        </w:drawing>
      </w:r>
    </w:p>
    <w:p w14:paraId="5B1146EB" w14:textId="3C761983"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4B30BF9D" wp14:editId="18743085">
            <wp:extent cx="5759450" cy="83648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364855"/>
                    </a:xfrm>
                    <a:prstGeom prst="rect">
                      <a:avLst/>
                    </a:prstGeom>
                    <a:noFill/>
                    <a:ln>
                      <a:noFill/>
                    </a:ln>
                  </pic:spPr>
                </pic:pic>
              </a:graphicData>
            </a:graphic>
          </wp:inline>
        </w:drawing>
      </w:r>
    </w:p>
    <w:p w14:paraId="19BD7D1A" w14:textId="3C4DCFB8"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2542B245" wp14:editId="768A8CF0">
            <wp:extent cx="5759450" cy="424053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240530"/>
                    </a:xfrm>
                    <a:prstGeom prst="rect">
                      <a:avLst/>
                    </a:prstGeom>
                    <a:noFill/>
                    <a:ln>
                      <a:noFill/>
                    </a:ln>
                  </pic:spPr>
                </pic:pic>
              </a:graphicData>
            </a:graphic>
          </wp:inline>
        </w:drawing>
      </w:r>
    </w:p>
    <w:p w14:paraId="10269B7D" w14:textId="1C124A55"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sz w:val="22"/>
          <w:szCs w:val="22"/>
        </w:rPr>
        <w:t>1.2. Rozwiązania Cisco FPR4112 jako platformy systemu bezpieczeństwa – Firewall posiadającego następującą specyfikację:</w:t>
      </w:r>
    </w:p>
    <w:p w14:paraId="04BA4E63" w14:textId="4A2E4332"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drawing>
          <wp:inline distT="0" distB="0" distL="0" distR="0" wp14:anchorId="745C54A1" wp14:editId="4DA1906B">
            <wp:extent cx="5759450" cy="36950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695065"/>
                    </a:xfrm>
                    <a:prstGeom prst="rect">
                      <a:avLst/>
                    </a:prstGeom>
                    <a:noFill/>
                    <a:ln>
                      <a:noFill/>
                    </a:ln>
                  </pic:spPr>
                </pic:pic>
              </a:graphicData>
            </a:graphic>
          </wp:inline>
        </w:drawing>
      </w:r>
    </w:p>
    <w:p w14:paraId="6BD4A556" w14:textId="2CB815D3"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7363F750" wp14:editId="476C9C61">
            <wp:extent cx="5759450" cy="835152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351520"/>
                    </a:xfrm>
                    <a:prstGeom prst="rect">
                      <a:avLst/>
                    </a:prstGeom>
                    <a:noFill/>
                    <a:ln>
                      <a:noFill/>
                    </a:ln>
                  </pic:spPr>
                </pic:pic>
              </a:graphicData>
            </a:graphic>
          </wp:inline>
        </w:drawing>
      </w:r>
    </w:p>
    <w:p w14:paraId="2D29F84D" w14:textId="59C0C1E0"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1521E9CF" wp14:editId="4C650013">
            <wp:extent cx="5759450" cy="8451850"/>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451850"/>
                    </a:xfrm>
                    <a:prstGeom prst="rect">
                      <a:avLst/>
                    </a:prstGeom>
                    <a:noFill/>
                    <a:ln>
                      <a:noFill/>
                    </a:ln>
                  </pic:spPr>
                </pic:pic>
              </a:graphicData>
            </a:graphic>
          </wp:inline>
        </w:drawing>
      </w:r>
    </w:p>
    <w:p w14:paraId="52DA9A92" w14:textId="436E6B7B"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59B32148" wp14:editId="617E401C">
            <wp:extent cx="5759450" cy="83121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312150"/>
                    </a:xfrm>
                    <a:prstGeom prst="rect">
                      <a:avLst/>
                    </a:prstGeom>
                    <a:noFill/>
                    <a:ln>
                      <a:noFill/>
                    </a:ln>
                  </pic:spPr>
                </pic:pic>
              </a:graphicData>
            </a:graphic>
          </wp:inline>
        </w:drawing>
      </w:r>
    </w:p>
    <w:p w14:paraId="7E1E2A71" w14:textId="31EDDE78"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716B200B" wp14:editId="58683CB5">
            <wp:extent cx="5759450" cy="83248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324850"/>
                    </a:xfrm>
                    <a:prstGeom prst="rect">
                      <a:avLst/>
                    </a:prstGeom>
                    <a:noFill/>
                    <a:ln>
                      <a:noFill/>
                    </a:ln>
                  </pic:spPr>
                </pic:pic>
              </a:graphicData>
            </a:graphic>
          </wp:inline>
        </w:drawing>
      </w:r>
    </w:p>
    <w:p w14:paraId="0D7C7EF5" w14:textId="2E6C34F7"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noProof/>
          <w:sz w:val="22"/>
          <w:szCs w:val="22"/>
        </w:rPr>
        <w:lastRenderedPageBreak/>
        <w:drawing>
          <wp:inline distT="0" distB="0" distL="0" distR="0" wp14:anchorId="25A12DC5" wp14:editId="777A6B1D">
            <wp:extent cx="5759450" cy="603313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33135"/>
                    </a:xfrm>
                    <a:prstGeom prst="rect">
                      <a:avLst/>
                    </a:prstGeom>
                    <a:noFill/>
                    <a:ln>
                      <a:noFill/>
                    </a:ln>
                  </pic:spPr>
                </pic:pic>
              </a:graphicData>
            </a:graphic>
          </wp:inline>
        </w:drawing>
      </w:r>
    </w:p>
    <w:p w14:paraId="579B8D68" w14:textId="77777777" w:rsidR="0038124D" w:rsidRP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sz w:val="22"/>
          <w:szCs w:val="22"/>
        </w:rPr>
        <w:t>Tabele w pkt 1.1 i 1.2 zostały przygotowane na podstawie odpowiednich tabel określonych przez Zamawiającego w OPZ.</w:t>
      </w:r>
    </w:p>
    <w:p w14:paraId="0838C445" w14:textId="5DDBF67A"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sz w:val="22"/>
          <w:szCs w:val="22"/>
        </w:rPr>
        <w:t>Prosimy o niezwłoczną odpowiedź na przedstawione pytania</w:t>
      </w:r>
      <w:r>
        <w:rPr>
          <w:rFonts w:ascii="Palatino Linotype" w:hAnsi="Palatino Linotype" w:cs="Tahoma"/>
          <w:sz w:val="22"/>
          <w:szCs w:val="22"/>
        </w:rPr>
        <w:t>.</w:t>
      </w:r>
    </w:p>
    <w:p w14:paraId="25AD0B77" w14:textId="77777777" w:rsidR="0038124D" w:rsidRDefault="0038124D" w:rsidP="0038124D">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3E265F0" w14:textId="77777777"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Zamawiający w OPZ wyspecyfikował swoje wymagania i potrzeby. To Wykonawca musi sam zaproponować rozwiązanie, które zaspokoi potrzeby opisane w OPZ. Zamawiający w żaden sposób nie ogranicza zaoferowania różnych rozwiązań byleby odpowiadały potrzebom Zamawiającego.  </w:t>
      </w:r>
    </w:p>
    <w:p w14:paraId="7A9D8D66" w14:textId="77777777" w:rsidR="0038124D" w:rsidRDefault="0038124D" w:rsidP="0038124D">
      <w:pPr>
        <w:pStyle w:val="Akapitzlist"/>
        <w:spacing w:after="120" w:line="276" w:lineRule="auto"/>
        <w:ind w:left="851"/>
        <w:contextualSpacing w:val="0"/>
        <w:jc w:val="both"/>
        <w:rPr>
          <w:rFonts w:ascii="Palatino Linotype" w:hAnsi="Palatino Linotype" w:cs="Tahoma"/>
          <w:b/>
          <w:bCs/>
          <w:sz w:val="22"/>
          <w:szCs w:val="22"/>
        </w:rPr>
      </w:pPr>
    </w:p>
    <w:p w14:paraId="0946729A" w14:textId="6D3EBB92" w:rsidR="0038124D" w:rsidRPr="006B1469" w:rsidRDefault="0038124D" w:rsidP="0038124D">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20.04.2021 r. – pismo 6:</w:t>
      </w:r>
    </w:p>
    <w:p w14:paraId="6EA72AD3" w14:textId="77777777" w:rsidR="0038124D" w:rsidRDefault="0038124D" w:rsidP="0038124D">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5A8B8075" w14:textId="2956D824" w:rsidR="0038124D" w:rsidRDefault="0038124D" w:rsidP="0038124D">
      <w:pPr>
        <w:pStyle w:val="Akapitzlist"/>
        <w:spacing w:after="60" w:line="276" w:lineRule="auto"/>
        <w:ind w:left="851"/>
        <w:jc w:val="both"/>
        <w:rPr>
          <w:rFonts w:ascii="Palatino Linotype" w:hAnsi="Palatino Linotype" w:cs="Tahoma"/>
          <w:sz w:val="22"/>
          <w:szCs w:val="22"/>
        </w:rPr>
      </w:pPr>
      <w:r w:rsidRPr="0038124D">
        <w:rPr>
          <w:rFonts w:ascii="Palatino Linotype" w:hAnsi="Palatino Linotype" w:cs="Tahoma"/>
          <w:sz w:val="22"/>
          <w:szCs w:val="22"/>
        </w:rPr>
        <w:lastRenderedPageBreak/>
        <w:t xml:space="preserve">Czy Zamawiający uzna za spełniający wymaganie opisane w pkt 7.1.4.1. SWZ projekt (zrealizowany w ramach jednej umowy) o wartości ponad 2 500 000 zł brutto, polegający na dostawie, wdrożeniu uruchomieniu i utrzymaniu infrastruktury IT do budowy centrum przetwarzania danych składającej się z platformy w modelu prywatnej chmury w architekturze wysokiej dostępności opartej o rozwiązanie </w:t>
      </w:r>
      <w:proofErr w:type="spellStart"/>
      <w:r w:rsidRPr="0038124D">
        <w:rPr>
          <w:rFonts w:ascii="Palatino Linotype" w:hAnsi="Palatino Linotype" w:cs="Tahoma"/>
          <w:sz w:val="22"/>
          <w:szCs w:val="22"/>
        </w:rPr>
        <w:t>VMware</w:t>
      </w:r>
      <w:proofErr w:type="spellEnd"/>
      <w:r w:rsidRPr="0038124D">
        <w:rPr>
          <w:rFonts w:ascii="Palatino Linotype" w:hAnsi="Palatino Linotype" w:cs="Tahoma"/>
          <w:sz w:val="22"/>
          <w:szCs w:val="22"/>
        </w:rPr>
        <w:t xml:space="preserve">, tworzącej warstwę </w:t>
      </w:r>
      <w:proofErr w:type="spellStart"/>
      <w:r w:rsidRPr="0038124D">
        <w:rPr>
          <w:rFonts w:ascii="Palatino Linotype" w:hAnsi="Palatino Linotype" w:cs="Tahoma"/>
          <w:sz w:val="22"/>
          <w:szCs w:val="22"/>
        </w:rPr>
        <w:t>wirtualizacyjną</w:t>
      </w:r>
      <w:proofErr w:type="spellEnd"/>
      <w:r w:rsidRPr="0038124D">
        <w:rPr>
          <w:rFonts w:ascii="Palatino Linotype" w:hAnsi="Palatino Linotype" w:cs="Tahoma"/>
          <w:sz w:val="22"/>
          <w:szCs w:val="22"/>
        </w:rPr>
        <w:t xml:space="preserve"> z centralnym zarządzaniem, tworzeniem puli zasobów, klastrów wysokodostępnych i separacją sieciową środowisk, a także macierzy, przełączników sieciowych, routerów, firewalli oraz backupu?</w:t>
      </w:r>
    </w:p>
    <w:p w14:paraId="5D988A7A" w14:textId="77777777" w:rsidR="0038124D" w:rsidRDefault="0038124D" w:rsidP="0038124D">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34A697D" w14:textId="77777777"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00791526">
        <w:rPr>
          <w:rFonts w:ascii="Palatino Linotype" w:hAnsi="Palatino Linotype" w:cs="Tahoma"/>
          <w:sz w:val="22"/>
          <w:szCs w:val="22"/>
        </w:rPr>
        <w:t>Zamawiający zastosował wskazane kryterium  w celu wyboru Wykonawcy posiadającego niezbędne doświadczenie przy projektach o wskazanej skali. </w:t>
      </w:r>
    </w:p>
    <w:p w14:paraId="38BDDA52" w14:textId="1A14F1A8" w:rsidR="00DA452D" w:rsidRPr="00791526" w:rsidRDefault="00DA452D" w:rsidP="00791526">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Zamawiający pozostawia zapisy SWZ bez zmian. </w:t>
      </w:r>
    </w:p>
    <w:p w14:paraId="11A68908" w14:textId="3118E3B4" w:rsidR="00791526" w:rsidRPr="006B1469" w:rsidRDefault="00791526" w:rsidP="00791526">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21.04.2021 r. – pismo 7:</w:t>
      </w:r>
    </w:p>
    <w:p w14:paraId="0D0ACC50"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40055458" w14:textId="6EF6C209" w:rsidR="0038124D" w:rsidRPr="00791526" w:rsidRDefault="00791526" w:rsidP="00791526">
      <w:pPr>
        <w:pStyle w:val="Akapitzlist"/>
        <w:spacing w:after="60" w:line="276" w:lineRule="auto"/>
        <w:ind w:left="851"/>
        <w:jc w:val="both"/>
        <w:rPr>
          <w:rFonts w:ascii="Palatino Linotype" w:hAnsi="Palatino Linotype" w:cs="Tahoma"/>
          <w:sz w:val="22"/>
          <w:szCs w:val="22"/>
        </w:rPr>
      </w:pPr>
      <w:r w:rsidRPr="00791526">
        <w:rPr>
          <w:rFonts w:ascii="Palatino Linotype" w:hAnsi="Palatino Linotype" w:cs="Tahoma"/>
          <w:sz w:val="22"/>
          <w:szCs w:val="22"/>
        </w:rPr>
        <w:t>Zamawiający wymaga wyposażenia macierzy w dyski 16TB (odpowiednio 168 dysków i 84 dyski dla macierzy pierwszej i drugiej), co stoi w sprzeczności do wymagania w punkcie 4.2.9 i wskazania pojemności 2PB użytkowe/macierz. Prosimy o doprecyzowanie, jaką pojemność użytkową ma posiadać dostarczona macierz oraz prosimy o rezygnację ze wskazania konkretnych dysków, albo dopuszczenie dysków 12TB, jako że wielkości dysków są specyficzne dla produktów konkretnego producenta.</w:t>
      </w:r>
    </w:p>
    <w:p w14:paraId="22C8972D" w14:textId="77777777"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9C52773" w14:textId="77777777" w:rsidR="00D3251F" w:rsidRPr="00D3251F" w:rsidRDefault="00D3251F" w:rsidP="00D3251F">
      <w:pPr>
        <w:pStyle w:val="Akapitzlist"/>
        <w:spacing w:after="120" w:line="276" w:lineRule="auto"/>
        <w:ind w:left="851"/>
        <w:contextualSpacing w:val="0"/>
        <w:jc w:val="both"/>
        <w:rPr>
          <w:rFonts w:ascii="Palatino Linotype" w:hAnsi="Palatino Linotype" w:cs="Tahoma"/>
          <w:sz w:val="22"/>
          <w:szCs w:val="22"/>
        </w:rPr>
      </w:pPr>
      <w:r w:rsidRPr="00D3251F">
        <w:rPr>
          <w:rFonts w:ascii="Palatino Linotype" w:hAnsi="Palatino Linotype" w:cs="Tahoma"/>
          <w:sz w:val="22"/>
          <w:szCs w:val="22"/>
        </w:rPr>
        <w:t>Zamawiający modyfikuje zapisy OPZ w rozdziale 5.3 System macierzy dyskowych pkt 5 </w:t>
      </w:r>
    </w:p>
    <w:p w14:paraId="6ED514C7" w14:textId="0B7EC4F0" w:rsidR="00791526" w:rsidRDefault="00791526" w:rsidP="0038124D">
      <w:pPr>
        <w:pStyle w:val="Akapitzlist"/>
        <w:spacing w:after="120" w:line="276" w:lineRule="auto"/>
        <w:ind w:left="851"/>
        <w:contextualSpacing w:val="0"/>
        <w:jc w:val="both"/>
        <w:rPr>
          <w:rFonts w:ascii="Palatino Linotype" w:hAnsi="Palatino Linotype" w:cs="Tahoma"/>
          <w:b/>
          <w:bCs/>
          <w:sz w:val="22"/>
          <w:szCs w:val="22"/>
        </w:rPr>
      </w:pPr>
    </w:p>
    <w:p w14:paraId="6A10A8F2"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0C0A8785" w14:textId="78734F45" w:rsidR="00791526" w:rsidRPr="00791526" w:rsidRDefault="00791526" w:rsidP="00791526">
      <w:pPr>
        <w:pStyle w:val="Akapitzlist"/>
        <w:spacing w:after="60" w:line="276" w:lineRule="auto"/>
        <w:ind w:left="851"/>
        <w:jc w:val="both"/>
        <w:rPr>
          <w:rFonts w:ascii="Palatino Linotype" w:hAnsi="Palatino Linotype" w:cs="Tahoma"/>
          <w:sz w:val="22"/>
          <w:szCs w:val="22"/>
        </w:rPr>
      </w:pPr>
      <w:r w:rsidRPr="00791526">
        <w:rPr>
          <w:rFonts w:ascii="Palatino Linotype" w:hAnsi="Palatino Linotype" w:cs="Tahoma"/>
          <w:sz w:val="22"/>
          <w:szCs w:val="22"/>
        </w:rPr>
        <w:t xml:space="preserve">Zamawiający w wymaganiach opcjonalnych 3.2 i 3.7 wymaga, aby oferowane RPO wynosiło 1 min. Tak zdefiniowany parametr znacząco ogranicza konkurencyjność postępowania, ponieważ wskazuje na rozwiązanie jednego producenta, tj. firmy </w:t>
      </w:r>
      <w:proofErr w:type="spellStart"/>
      <w:r w:rsidRPr="00791526">
        <w:rPr>
          <w:rFonts w:ascii="Palatino Linotype" w:hAnsi="Palatino Linotype" w:cs="Tahoma"/>
          <w:sz w:val="22"/>
          <w:szCs w:val="22"/>
        </w:rPr>
        <w:t>Nutanix</w:t>
      </w:r>
      <w:proofErr w:type="spellEnd"/>
      <w:r w:rsidRPr="00791526">
        <w:rPr>
          <w:rFonts w:ascii="Palatino Linotype" w:hAnsi="Palatino Linotype" w:cs="Tahoma"/>
          <w:sz w:val="22"/>
          <w:szCs w:val="22"/>
        </w:rPr>
        <w:t>. Prosimy o zmianę tego parametru na RPO do 5 min. Zmiana taka nie wpływa na funkcjonowanie środowiska, a jednocześnie podnosi konkurencyjność postępowania.</w:t>
      </w:r>
    </w:p>
    <w:p w14:paraId="045C5059" w14:textId="77777777"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4FD96FA" w14:textId="77777777" w:rsidR="00D3251F" w:rsidRPr="00D3251F" w:rsidRDefault="00D3251F" w:rsidP="00D3251F">
      <w:pPr>
        <w:pStyle w:val="Akapitzlist"/>
        <w:spacing w:after="120" w:line="276" w:lineRule="auto"/>
        <w:ind w:left="851"/>
        <w:contextualSpacing w:val="0"/>
        <w:jc w:val="both"/>
        <w:rPr>
          <w:rFonts w:ascii="Palatino Linotype" w:hAnsi="Palatino Linotype" w:cs="Tahoma"/>
          <w:sz w:val="22"/>
          <w:szCs w:val="22"/>
        </w:rPr>
      </w:pPr>
      <w:r w:rsidRPr="00D3251F">
        <w:rPr>
          <w:rFonts w:ascii="Palatino Linotype" w:hAnsi="Palatino Linotype" w:cs="Tahoma"/>
          <w:sz w:val="22"/>
          <w:szCs w:val="22"/>
        </w:rPr>
        <w:t xml:space="preserve">Zamawiający modyfikuje zapisy OPZ w rozdziale 5.1 Platforma hiperkonwergentna pkt 3 </w:t>
      </w:r>
      <w:proofErr w:type="spellStart"/>
      <w:r w:rsidRPr="00D3251F">
        <w:rPr>
          <w:rFonts w:ascii="Palatino Linotype" w:hAnsi="Palatino Linotype" w:cs="Tahoma"/>
          <w:sz w:val="22"/>
          <w:szCs w:val="22"/>
        </w:rPr>
        <w:t>ppkt</w:t>
      </w:r>
      <w:proofErr w:type="spellEnd"/>
      <w:r w:rsidRPr="00D3251F">
        <w:rPr>
          <w:rFonts w:ascii="Palatino Linotype" w:hAnsi="Palatino Linotype" w:cs="Tahoma"/>
          <w:sz w:val="22"/>
          <w:szCs w:val="22"/>
        </w:rPr>
        <w:t xml:space="preserve"> 2 i 7 i pkt 4 </w:t>
      </w:r>
      <w:proofErr w:type="spellStart"/>
      <w:r w:rsidRPr="00D3251F">
        <w:rPr>
          <w:rFonts w:ascii="Palatino Linotype" w:hAnsi="Palatino Linotype" w:cs="Tahoma"/>
          <w:sz w:val="22"/>
          <w:szCs w:val="22"/>
        </w:rPr>
        <w:t>ppkt</w:t>
      </w:r>
      <w:proofErr w:type="spellEnd"/>
      <w:r w:rsidRPr="00D3251F">
        <w:rPr>
          <w:rFonts w:ascii="Palatino Linotype" w:hAnsi="Palatino Linotype" w:cs="Tahoma"/>
          <w:sz w:val="22"/>
          <w:szCs w:val="22"/>
        </w:rPr>
        <w:t xml:space="preserve"> 5  </w:t>
      </w:r>
    </w:p>
    <w:p w14:paraId="503786E1" w14:textId="78379EFB" w:rsidR="00791526" w:rsidRDefault="00791526" w:rsidP="0038124D">
      <w:pPr>
        <w:pStyle w:val="Akapitzlist"/>
        <w:spacing w:after="120" w:line="276" w:lineRule="auto"/>
        <w:ind w:left="851"/>
        <w:contextualSpacing w:val="0"/>
        <w:jc w:val="both"/>
        <w:rPr>
          <w:rStyle w:val="fontstyle01"/>
        </w:rPr>
      </w:pPr>
    </w:p>
    <w:p w14:paraId="1C2E4BBF"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446A50F2" w14:textId="15116803" w:rsidR="00791526" w:rsidRPr="00791526" w:rsidRDefault="00791526" w:rsidP="00791526">
      <w:pPr>
        <w:pStyle w:val="Akapitzlist"/>
        <w:spacing w:after="60" w:line="276" w:lineRule="auto"/>
        <w:ind w:left="851"/>
        <w:jc w:val="both"/>
        <w:rPr>
          <w:rFonts w:ascii="Palatino Linotype" w:hAnsi="Palatino Linotype" w:cs="Tahoma"/>
          <w:sz w:val="22"/>
          <w:szCs w:val="22"/>
        </w:rPr>
      </w:pPr>
      <w:r w:rsidRPr="00791526">
        <w:rPr>
          <w:rFonts w:ascii="Palatino Linotype" w:hAnsi="Palatino Linotype" w:cs="Tahoma"/>
          <w:sz w:val="22"/>
          <w:szCs w:val="22"/>
        </w:rPr>
        <w:t xml:space="preserve">Dot. Wzoru umowy – § 6 Personel kluczowy Czy w przypadku choroby lub śmierci członka personelu Wykonawcy Zamawiający przewiduje możliwość, że nie wyrazi </w:t>
      </w:r>
      <w:r w:rsidRPr="00791526">
        <w:rPr>
          <w:rFonts w:ascii="Palatino Linotype" w:hAnsi="Palatino Linotype" w:cs="Tahoma"/>
          <w:sz w:val="22"/>
          <w:szCs w:val="22"/>
        </w:rPr>
        <w:lastRenderedPageBreak/>
        <w:t xml:space="preserve">zgody na zmianę członka Personelu kluczowego (por. § 6 ust. 2)? Jeśli tak, to jakie mogą być przesłanki odmowy wyrażenia takiej zgody? W szczególności, czy w tym zapisie Zamawiającemu chodzi o akceptację nie tyle samej zmiany członka personelu, ale osoby zastępującej osobę niezdolną do realizacji zadań? </w:t>
      </w:r>
    </w:p>
    <w:p w14:paraId="6483263E" w14:textId="55FF764D"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4496B3DD" w14:textId="77777777" w:rsidR="00D3251F" w:rsidRPr="00D3251F" w:rsidRDefault="00D3251F" w:rsidP="00D3251F">
      <w:pPr>
        <w:pStyle w:val="Akapitzlist"/>
        <w:spacing w:after="120" w:line="276" w:lineRule="auto"/>
        <w:ind w:left="851"/>
        <w:contextualSpacing w:val="0"/>
        <w:jc w:val="both"/>
        <w:rPr>
          <w:rFonts w:ascii="Palatino Linotype" w:hAnsi="Palatino Linotype" w:cs="Tahoma"/>
          <w:sz w:val="22"/>
          <w:szCs w:val="22"/>
        </w:rPr>
      </w:pPr>
      <w:r w:rsidRPr="00D3251F">
        <w:rPr>
          <w:rFonts w:ascii="Palatino Linotype" w:hAnsi="Palatino Linotype" w:cs="Tahoma"/>
          <w:sz w:val="22"/>
          <w:szCs w:val="22"/>
        </w:rPr>
        <w:t>Procedura zmiany personelu kluczowego jest opisana we wzorze umowy § 6 Personel kluczowy. Przesłanki odmowy wyrażenia zgody na zmianę członka personelu są przedstawione we wzorze umowy § 6 Personel kluczowy będącej załącznikiem SWZ.  </w:t>
      </w:r>
    </w:p>
    <w:p w14:paraId="69506201" w14:textId="165F1668" w:rsidR="00791526" w:rsidRDefault="00791526" w:rsidP="0038124D">
      <w:pPr>
        <w:pStyle w:val="Akapitzlist"/>
        <w:spacing w:after="120" w:line="276" w:lineRule="auto"/>
        <w:ind w:left="851"/>
        <w:contextualSpacing w:val="0"/>
        <w:jc w:val="both"/>
        <w:rPr>
          <w:rStyle w:val="fontstyle01"/>
        </w:rPr>
      </w:pPr>
    </w:p>
    <w:p w14:paraId="371C8D38"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5CDC095E" w14:textId="732D653E" w:rsidR="00791526" w:rsidRPr="00791526" w:rsidRDefault="00791526" w:rsidP="00791526">
      <w:pPr>
        <w:pStyle w:val="Akapitzlist"/>
        <w:spacing w:after="60" w:line="276" w:lineRule="auto"/>
        <w:ind w:left="851"/>
        <w:jc w:val="both"/>
        <w:rPr>
          <w:rFonts w:ascii="Palatino Linotype" w:hAnsi="Palatino Linotype" w:cs="Tahoma"/>
          <w:sz w:val="22"/>
          <w:szCs w:val="22"/>
        </w:rPr>
      </w:pPr>
      <w:r w:rsidRPr="00791526">
        <w:rPr>
          <w:rFonts w:ascii="Palatino Linotype" w:hAnsi="Palatino Linotype" w:cs="Tahoma"/>
          <w:sz w:val="22"/>
          <w:szCs w:val="22"/>
        </w:rPr>
        <w:t>Dot. Wzoru umowy – § 10 Rękojmia i gwarancja jakości</w:t>
      </w:r>
      <w:r>
        <w:rPr>
          <w:rFonts w:ascii="Palatino Linotype" w:hAnsi="Palatino Linotype" w:cs="Tahoma"/>
          <w:sz w:val="22"/>
          <w:szCs w:val="22"/>
        </w:rPr>
        <w:t xml:space="preserve"> </w:t>
      </w:r>
      <w:r w:rsidRPr="00791526">
        <w:rPr>
          <w:rFonts w:ascii="Palatino Linotype" w:hAnsi="Palatino Linotype" w:cs="Tahoma"/>
          <w:sz w:val="22"/>
          <w:szCs w:val="22"/>
        </w:rPr>
        <w:t>Czy Zamawiający określi minimalne terminy usuwania wad istotnie wpływających na eksploatację</w:t>
      </w:r>
      <w:r>
        <w:rPr>
          <w:rFonts w:ascii="Palatino Linotype" w:hAnsi="Palatino Linotype" w:cs="Tahoma"/>
          <w:sz w:val="22"/>
          <w:szCs w:val="22"/>
        </w:rPr>
        <w:t xml:space="preserve"> </w:t>
      </w:r>
      <w:r w:rsidRPr="00791526">
        <w:rPr>
          <w:rFonts w:ascii="Palatino Linotype" w:hAnsi="Palatino Linotype" w:cs="Tahoma"/>
          <w:sz w:val="22"/>
          <w:szCs w:val="22"/>
        </w:rPr>
        <w:t>rozwiązania oraz niewpływających na eksploatację, gdyż nie sposób jest wycenić wartości usługi</w:t>
      </w:r>
      <w:r>
        <w:rPr>
          <w:rFonts w:ascii="Palatino Linotype" w:hAnsi="Palatino Linotype" w:cs="Tahoma"/>
          <w:sz w:val="22"/>
          <w:szCs w:val="22"/>
        </w:rPr>
        <w:t xml:space="preserve"> </w:t>
      </w:r>
      <w:r w:rsidRPr="00791526">
        <w:rPr>
          <w:rFonts w:ascii="Palatino Linotype" w:hAnsi="Palatino Linotype" w:cs="Tahoma"/>
          <w:sz w:val="22"/>
          <w:szCs w:val="22"/>
        </w:rPr>
        <w:t>w sytuacji, gdy termin naprawy jest w całości w gestii Zamawiającego i nie wiadomo, czy będzie</w:t>
      </w:r>
      <w:r>
        <w:rPr>
          <w:rFonts w:ascii="Palatino Linotype" w:hAnsi="Palatino Linotype" w:cs="Tahoma"/>
          <w:sz w:val="22"/>
          <w:szCs w:val="22"/>
        </w:rPr>
        <w:t xml:space="preserve"> </w:t>
      </w:r>
      <w:r w:rsidRPr="00791526">
        <w:rPr>
          <w:rFonts w:ascii="Palatino Linotype" w:hAnsi="Palatino Linotype" w:cs="Tahoma"/>
          <w:sz w:val="22"/>
          <w:szCs w:val="22"/>
        </w:rPr>
        <w:t>można sprostać tym wymaganiom? Czy w takiej sytuacji Wykonawca powinien zapewnić np.</w:t>
      </w:r>
      <w:r>
        <w:rPr>
          <w:rFonts w:ascii="Palatino Linotype" w:hAnsi="Palatino Linotype" w:cs="Tahoma"/>
          <w:sz w:val="22"/>
          <w:szCs w:val="22"/>
        </w:rPr>
        <w:t xml:space="preserve"> </w:t>
      </w:r>
      <w:r w:rsidRPr="00791526">
        <w:rPr>
          <w:rFonts w:ascii="Palatino Linotype" w:hAnsi="Palatino Linotype" w:cs="Tahoma"/>
          <w:sz w:val="22"/>
          <w:szCs w:val="22"/>
        </w:rPr>
        <w:t>urządzenie zamienne dla każdego dostarczonego komponentu albo wykupić usługę rozszerzonego</w:t>
      </w:r>
      <w:r>
        <w:rPr>
          <w:rFonts w:ascii="Palatino Linotype" w:hAnsi="Palatino Linotype" w:cs="Tahoma"/>
          <w:sz w:val="22"/>
          <w:szCs w:val="22"/>
        </w:rPr>
        <w:t xml:space="preserve"> </w:t>
      </w:r>
      <w:r w:rsidRPr="00791526">
        <w:rPr>
          <w:rFonts w:ascii="Palatino Linotype" w:hAnsi="Palatino Linotype" w:cs="Tahoma"/>
          <w:sz w:val="22"/>
          <w:szCs w:val="22"/>
        </w:rPr>
        <w:t>wsparcia z gwarantowanym czasem napraw? (Jeśli tak to jakim?) Czy też Wykonawca będzie musiał</w:t>
      </w:r>
      <w:r>
        <w:rPr>
          <w:rFonts w:ascii="Palatino Linotype" w:hAnsi="Palatino Linotype" w:cs="Tahoma"/>
          <w:sz w:val="22"/>
          <w:szCs w:val="22"/>
        </w:rPr>
        <w:t xml:space="preserve"> </w:t>
      </w:r>
      <w:r w:rsidRPr="00791526">
        <w:rPr>
          <w:rFonts w:ascii="Palatino Linotype" w:hAnsi="Palatino Linotype" w:cs="Tahoma"/>
          <w:sz w:val="22"/>
          <w:szCs w:val="22"/>
        </w:rPr>
        <w:t>dokonać naprawy w terminie zapewnianym przez producenta w ramach standardowej gwarancji na</w:t>
      </w:r>
      <w:r>
        <w:rPr>
          <w:rFonts w:ascii="Palatino Linotype" w:hAnsi="Palatino Linotype" w:cs="Tahoma"/>
          <w:sz w:val="22"/>
          <w:szCs w:val="22"/>
        </w:rPr>
        <w:t xml:space="preserve"> </w:t>
      </w:r>
      <w:r w:rsidRPr="00791526">
        <w:rPr>
          <w:rFonts w:ascii="Palatino Linotype" w:hAnsi="Palatino Linotype" w:cs="Tahoma"/>
          <w:sz w:val="22"/>
          <w:szCs w:val="22"/>
        </w:rPr>
        <w:t>dostarczany sprzęt?</w:t>
      </w:r>
    </w:p>
    <w:p w14:paraId="3DB0401C" w14:textId="77777777"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351BD0FF" w14:textId="4B8335CD" w:rsidR="00D3251F" w:rsidRPr="00D3251F" w:rsidRDefault="00D3251F" w:rsidP="00D3251F">
      <w:pPr>
        <w:pStyle w:val="Akapitzlist"/>
        <w:spacing w:after="120" w:line="276" w:lineRule="auto"/>
        <w:ind w:left="851"/>
        <w:contextualSpacing w:val="0"/>
        <w:jc w:val="both"/>
        <w:rPr>
          <w:rFonts w:ascii="Palatino Linotype" w:hAnsi="Palatino Linotype" w:cs="Tahoma"/>
          <w:sz w:val="22"/>
          <w:szCs w:val="22"/>
        </w:rPr>
      </w:pPr>
      <w:r w:rsidRPr="3DFD1CFE">
        <w:rPr>
          <w:rFonts w:ascii="Palatino Linotype" w:hAnsi="Palatino Linotype" w:cs="Tahoma"/>
          <w:sz w:val="22"/>
          <w:szCs w:val="22"/>
        </w:rPr>
        <w:t xml:space="preserve">Zamawiający modyfikuje OPZ w rozdziale </w:t>
      </w:r>
      <w:r w:rsidR="267C1019" w:rsidRPr="3DFD1CFE">
        <w:rPr>
          <w:rFonts w:ascii="Palatino Linotype" w:hAnsi="Palatino Linotype" w:cs="Tahoma"/>
          <w:sz w:val="22"/>
          <w:szCs w:val="22"/>
        </w:rPr>
        <w:t xml:space="preserve">12 </w:t>
      </w:r>
      <w:r w:rsidRPr="3DFD1CFE">
        <w:rPr>
          <w:rFonts w:ascii="Palatino Linotype" w:hAnsi="Palatino Linotype" w:cs="Tahoma"/>
          <w:sz w:val="22"/>
          <w:szCs w:val="22"/>
        </w:rPr>
        <w:t>Gwarancja dodając pkt 8.  </w:t>
      </w:r>
    </w:p>
    <w:p w14:paraId="072D892D" w14:textId="77777777" w:rsidR="00D3251F" w:rsidRPr="00D3251F" w:rsidRDefault="00D3251F" w:rsidP="00D3251F">
      <w:pPr>
        <w:pStyle w:val="Akapitzlist"/>
        <w:spacing w:after="120" w:line="276" w:lineRule="auto"/>
        <w:ind w:left="851"/>
        <w:contextualSpacing w:val="0"/>
        <w:jc w:val="both"/>
        <w:rPr>
          <w:rFonts w:ascii="Palatino Linotype" w:hAnsi="Palatino Linotype" w:cs="Tahoma"/>
          <w:sz w:val="22"/>
          <w:szCs w:val="22"/>
        </w:rPr>
      </w:pPr>
      <w:r w:rsidRPr="00D3251F">
        <w:rPr>
          <w:rFonts w:ascii="Palatino Linotype" w:hAnsi="Palatino Linotype" w:cs="Tahoma"/>
          <w:sz w:val="22"/>
          <w:szCs w:val="22"/>
        </w:rPr>
        <w:t>Zamawiający nie specyfikuje sposobu realizacji warunków gwarancji.  </w:t>
      </w:r>
    </w:p>
    <w:p w14:paraId="03AEA264" w14:textId="0DA6C96D" w:rsidR="0038124D" w:rsidRDefault="0038124D" w:rsidP="0038124D">
      <w:pPr>
        <w:pStyle w:val="Akapitzlist"/>
        <w:spacing w:after="60" w:line="276" w:lineRule="auto"/>
        <w:ind w:left="851"/>
        <w:jc w:val="both"/>
        <w:rPr>
          <w:rFonts w:ascii="Palatino Linotype" w:hAnsi="Palatino Linotype" w:cs="Tahoma"/>
          <w:sz w:val="22"/>
          <w:szCs w:val="22"/>
        </w:rPr>
      </w:pPr>
    </w:p>
    <w:p w14:paraId="18D437D7"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528A25AD" w14:textId="270DA072" w:rsidR="00791526" w:rsidRPr="00D3251F" w:rsidRDefault="00791526" w:rsidP="0038124D">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Dot. Wzoru umowy – § 13 Odstąpienie od umowy Czy Zamawiający może wskazać minimalny okres zwłoki uprawniający Zamawiającego do odstąpienia od Umowy, gdyż obecnie przesłanką odstąpienia może być nawet jeden dzień zwłoki?</w:t>
      </w:r>
    </w:p>
    <w:p w14:paraId="25C01EE6" w14:textId="77777777"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DE7310E" w14:textId="1B9634AA" w:rsidR="00D3251F" w:rsidRDefault="00D3251F" w:rsidP="0038124D">
      <w:pPr>
        <w:pStyle w:val="Akapitzlist"/>
        <w:spacing w:after="60" w:line="276" w:lineRule="auto"/>
        <w:ind w:left="851"/>
        <w:jc w:val="both"/>
        <w:rPr>
          <w:rStyle w:val="fontstyle01"/>
        </w:rPr>
      </w:pPr>
      <w:r w:rsidRPr="3DFD1CFE">
        <w:rPr>
          <w:rFonts w:ascii="Palatino Linotype" w:hAnsi="Palatino Linotype" w:cs="Tahoma"/>
          <w:sz w:val="22"/>
          <w:szCs w:val="22"/>
        </w:rPr>
        <w:t xml:space="preserve">Zamawiający we Wzorze umowy § 13 Odstąpienie od umowy pkt 1 </w:t>
      </w:r>
      <w:proofErr w:type="spellStart"/>
      <w:r w:rsidRPr="3DFD1CFE">
        <w:rPr>
          <w:rFonts w:ascii="Palatino Linotype" w:hAnsi="Palatino Linotype" w:cs="Tahoma"/>
          <w:sz w:val="22"/>
          <w:szCs w:val="22"/>
        </w:rPr>
        <w:t>ppkt</w:t>
      </w:r>
      <w:proofErr w:type="spellEnd"/>
      <w:r w:rsidRPr="3DFD1CFE">
        <w:rPr>
          <w:rFonts w:ascii="Palatino Linotype" w:hAnsi="Palatino Linotype" w:cs="Tahoma"/>
          <w:sz w:val="22"/>
          <w:szCs w:val="22"/>
        </w:rPr>
        <w:t xml:space="preserve"> 1 wyspecyfikował minimalny okres zwłoki uprawniający Zamawiające</w:t>
      </w:r>
      <w:r w:rsidR="04B9149D" w:rsidRPr="3DFD1CFE">
        <w:rPr>
          <w:rFonts w:ascii="Palatino Linotype" w:hAnsi="Palatino Linotype" w:cs="Tahoma"/>
          <w:sz w:val="22"/>
          <w:szCs w:val="22"/>
        </w:rPr>
        <w:t>go</w:t>
      </w:r>
      <w:r w:rsidRPr="3DFD1CFE">
        <w:rPr>
          <w:rFonts w:ascii="Palatino Linotype" w:hAnsi="Palatino Linotype" w:cs="Tahoma"/>
          <w:sz w:val="22"/>
          <w:szCs w:val="22"/>
        </w:rPr>
        <w:t xml:space="preserve"> do odstąpienia od umowy.  </w:t>
      </w:r>
    </w:p>
    <w:p w14:paraId="713486A1"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42BDF645" w14:textId="3FDCEEB1" w:rsidR="00791526" w:rsidRPr="00D3251F" w:rsidRDefault="00791526" w:rsidP="0038124D">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Dot. Wzoru umowy – § 15 Zmiana umowy Czy Zmawiający ma zapewnione środki na realizację umowy w zakresie podstawowym oraz w zakresie opcji? Czy brak środków może być przesłanką zmiany umowy?</w:t>
      </w:r>
    </w:p>
    <w:p w14:paraId="7CB74B6E" w14:textId="77777777"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663F5185" w14:textId="4B7840E6" w:rsidR="00791526" w:rsidRPr="0003655A" w:rsidRDefault="46E14E51" w:rsidP="0003655A">
      <w:pPr>
        <w:pStyle w:val="Akapitzlist"/>
        <w:spacing w:line="276" w:lineRule="auto"/>
        <w:ind w:left="851"/>
        <w:jc w:val="both"/>
        <w:rPr>
          <w:rFonts w:ascii="Palatino Linotype" w:hAnsi="Palatino Linotype" w:cs="Tahoma"/>
          <w:sz w:val="22"/>
          <w:szCs w:val="22"/>
        </w:rPr>
      </w:pPr>
      <w:r w:rsidRPr="3DFD1CFE">
        <w:rPr>
          <w:rFonts w:ascii="Palatino Linotype" w:eastAsia="Palatino Linotype" w:hAnsi="Palatino Linotype" w:cs="Palatino Linotype"/>
          <w:b/>
          <w:bCs/>
          <w:color w:val="385623" w:themeColor="accent6" w:themeShade="80"/>
          <w:sz w:val="22"/>
          <w:szCs w:val="22"/>
        </w:rPr>
        <w:lastRenderedPageBreak/>
        <w:t xml:space="preserve"> </w:t>
      </w:r>
      <w:r w:rsidRPr="0003655A">
        <w:rPr>
          <w:rFonts w:ascii="Palatino Linotype" w:hAnsi="Palatino Linotype" w:cs="Tahoma"/>
          <w:sz w:val="22"/>
          <w:szCs w:val="22"/>
        </w:rPr>
        <w:t>Zamawiający potwierdza, że aktualnie posiada środki finansowe na realizację zamówienia z uwzględnieniem prawa opcji. Przesłanka zmiany umowy związana z brakiem środków finansowych opisana została w § 15 ust. 2 pkt 1 wzoru umowy.</w:t>
      </w:r>
    </w:p>
    <w:p w14:paraId="1D017216" w14:textId="5B827681" w:rsidR="00791526" w:rsidRDefault="00791526" w:rsidP="0038124D">
      <w:pPr>
        <w:pStyle w:val="Akapitzlist"/>
        <w:spacing w:after="60" w:line="276" w:lineRule="auto"/>
        <w:ind w:left="851"/>
        <w:jc w:val="both"/>
        <w:rPr>
          <w:rStyle w:val="fontstyle01"/>
        </w:rPr>
      </w:pPr>
    </w:p>
    <w:p w14:paraId="071DB764" w14:textId="77777777" w:rsidR="00791526" w:rsidRDefault="00791526" w:rsidP="00791526">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4DE58E3A" w14:textId="1ED5AFED" w:rsidR="00791526" w:rsidRPr="00D3251F" w:rsidRDefault="00791526" w:rsidP="0038124D">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Dot. Wzoru umowy – § 15 Zmiana umowy Czy w przypadku zmiany terminu realizacji umowy oraz "wydłużania się procedur związanych z podjęciem decyzji przez Zamawiającego o dalszej realizacji Przedmiotu Umowy” (§ 15 ust. 2 pkt. 3 lit. b) Zamawiający poniesie koszty związane z taką zmianą - przykładowo zmianę cen, wynagrodzeń personelu, koszt przedłużenia zabezpieczenia etc.?</w:t>
      </w:r>
    </w:p>
    <w:p w14:paraId="2FE9571F" w14:textId="77777777" w:rsidR="00791526" w:rsidRDefault="00791526" w:rsidP="00791526">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FE999F2" w14:textId="26FB9D66" w:rsidR="00D3251F" w:rsidRDefault="00D3251F" w:rsidP="00D3251F">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Zamawiający nie przewiduje zmiany kosztów związanych z taką zmianą. Elementy umowy podlegające zmianie są wymienione</w:t>
      </w:r>
      <w:r w:rsidRPr="3DFD1CFE">
        <w:rPr>
          <w:rFonts w:ascii="Palatino Linotype" w:hAnsi="Palatino Linotype" w:cs="Tahoma"/>
          <w:sz w:val="22"/>
          <w:szCs w:val="22"/>
        </w:rPr>
        <w:t xml:space="preserve"> we wzorze umowy § 15 ust. 2 pkt. 3 </w:t>
      </w:r>
    </w:p>
    <w:p w14:paraId="1DD224B4" w14:textId="77777777" w:rsidR="00D3251F" w:rsidRPr="00D3251F" w:rsidRDefault="00D3251F" w:rsidP="00D3251F">
      <w:pPr>
        <w:pStyle w:val="Akapitzlist"/>
        <w:spacing w:after="60" w:line="276" w:lineRule="auto"/>
        <w:ind w:left="851"/>
        <w:jc w:val="both"/>
        <w:rPr>
          <w:rFonts w:ascii="Palatino Linotype" w:hAnsi="Palatino Linotype" w:cs="Tahoma"/>
          <w:sz w:val="22"/>
          <w:szCs w:val="22"/>
        </w:rPr>
      </w:pPr>
    </w:p>
    <w:p w14:paraId="65181908" w14:textId="580A5B6F" w:rsidR="00D3251F" w:rsidRPr="006B1469" w:rsidRDefault="00D3251F" w:rsidP="00D3251F">
      <w:pPr>
        <w:pStyle w:val="Akapitzlist"/>
        <w:numPr>
          <w:ilvl w:val="0"/>
          <w:numId w:val="35"/>
        </w:numPr>
        <w:spacing w:after="120" w:line="276" w:lineRule="auto"/>
        <w:ind w:left="425" w:hanging="425"/>
        <w:contextualSpacing w:val="0"/>
        <w:jc w:val="both"/>
        <w:rPr>
          <w:rFonts w:ascii="Palatino Linotype" w:hAnsi="Palatino Linotype" w:cs="Tahoma"/>
          <w:sz w:val="22"/>
          <w:szCs w:val="22"/>
        </w:rPr>
      </w:pPr>
      <w:r>
        <w:rPr>
          <w:rFonts w:ascii="Palatino Linotype" w:hAnsi="Palatino Linotype" w:cs="Tahoma"/>
          <w:b/>
          <w:bCs/>
          <w:sz w:val="22"/>
          <w:szCs w:val="22"/>
        </w:rPr>
        <w:t>Pytania z dnia 21.04.2021 r. – pismo 8:</w:t>
      </w:r>
    </w:p>
    <w:p w14:paraId="4AB3EB9B" w14:textId="77777777" w:rsidR="00D3251F" w:rsidRDefault="00D3251F" w:rsidP="00D3251F">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027E3988" w14:textId="5AD7E179" w:rsidR="00D3251F" w:rsidRPr="00D3251F"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Dotyczy rozdziału 16 SWZ</w:t>
      </w:r>
      <w:r>
        <w:rPr>
          <w:rFonts w:ascii="Palatino Linotype" w:hAnsi="Palatino Linotype" w:cs="Tahoma"/>
          <w:sz w:val="22"/>
          <w:szCs w:val="22"/>
        </w:rPr>
        <w:t xml:space="preserve"> </w:t>
      </w:r>
      <w:r w:rsidRPr="00D3251F">
        <w:rPr>
          <w:rFonts w:ascii="Palatino Linotype" w:hAnsi="Palatino Linotype" w:cs="Tahoma"/>
          <w:sz w:val="22"/>
          <w:szCs w:val="22"/>
        </w:rPr>
        <w:t>Zamawiający w treści rozdz. 16 SWZ wskazuje kryteria oceny ofert wraz z podaniem wag i</w:t>
      </w:r>
      <w:r>
        <w:rPr>
          <w:rFonts w:ascii="Palatino Linotype" w:hAnsi="Palatino Linotype" w:cs="Tahoma"/>
          <w:sz w:val="22"/>
          <w:szCs w:val="22"/>
        </w:rPr>
        <w:t xml:space="preserve"> </w:t>
      </w:r>
      <w:r w:rsidRPr="00D3251F">
        <w:rPr>
          <w:rFonts w:ascii="Palatino Linotype" w:hAnsi="Palatino Linotype" w:cs="Tahoma"/>
          <w:sz w:val="22"/>
          <w:szCs w:val="22"/>
        </w:rPr>
        <w:t>sposobu oceny. W pkt 16.1 podane są maksymalne wartości procentowe, jakie może</w:t>
      </w:r>
      <w:r>
        <w:rPr>
          <w:rFonts w:ascii="Palatino Linotype" w:hAnsi="Palatino Linotype" w:cs="Tahoma"/>
          <w:sz w:val="22"/>
          <w:szCs w:val="22"/>
        </w:rPr>
        <w:t xml:space="preserve"> </w:t>
      </w:r>
      <w:r w:rsidRPr="00D3251F">
        <w:rPr>
          <w:rFonts w:ascii="Palatino Linotype" w:hAnsi="Palatino Linotype" w:cs="Tahoma"/>
          <w:sz w:val="22"/>
          <w:szCs w:val="22"/>
        </w:rPr>
        <w:t>uzyskać Wykonawca, które po zsumowaniu dają wynik równy 100%. Jednocześnie w</w:t>
      </w:r>
      <w:r>
        <w:rPr>
          <w:rFonts w:ascii="Palatino Linotype" w:hAnsi="Palatino Linotype" w:cs="Tahoma"/>
          <w:sz w:val="22"/>
          <w:szCs w:val="22"/>
        </w:rPr>
        <w:t xml:space="preserve"> </w:t>
      </w:r>
      <w:r w:rsidRPr="00D3251F">
        <w:rPr>
          <w:rFonts w:ascii="Palatino Linotype" w:hAnsi="Palatino Linotype" w:cs="Tahoma"/>
          <w:sz w:val="22"/>
          <w:szCs w:val="22"/>
        </w:rPr>
        <w:t>dalszych punktach rozdz. 16 SWZ, Zamawiający precyzuje poszczególne kryteria.</w:t>
      </w:r>
      <w:r>
        <w:rPr>
          <w:rFonts w:ascii="Palatino Linotype" w:hAnsi="Palatino Linotype" w:cs="Tahoma"/>
          <w:sz w:val="22"/>
          <w:szCs w:val="22"/>
        </w:rPr>
        <w:t xml:space="preserve"> </w:t>
      </w:r>
      <w:r w:rsidRPr="00D3251F">
        <w:rPr>
          <w:rFonts w:ascii="Palatino Linotype" w:hAnsi="Palatino Linotype" w:cs="Tahoma"/>
          <w:sz w:val="22"/>
          <w:szCs w:val="22"/>
        </w:rPr>
        <w:t>W pkt 16.4 pokazane zostały funkcjonalności, za które Zamawiający przyznaje określoną</w:t>
      </w:r>
      <w:r>
        <w:rPr>
          <w:rFonts w:ascii="Palatino Linotype" w:hAnsi="Palatino Linotype" w:cs="Tahoma"/>
          <w:sz w:val="22"/>
          <w:szCs w:val="22"/>
        </w:rPr>
        <w:t xml:space="preserve"> </w:t>
      </w:r>
      <w:r w:rsidRPr="00D3251F">
        <w:rPr>
          <w:rFonts w:ascii="Palatino Linotype" w:hAnsi="Palatino Linotype" w:cs="Tahoma"/>
          <w:sz w:val="22"/>
          <w:szCs w:val="22"/>
        </w:rPr>
        <w:t>liczbę punktów. Suma punktów z tabeli faktycznie daje wartość 48 punktów, Jednak w</w:t>
      </w:r>
      <w:r>
        <w:rPr>
          <w:rFonts w:ascii="Palatino Linotype" w:hAnsi="Palatino Linotype" w:cs="Tahoma"/>
          <w:sz w:val="22"/>
          <w:szCs w:val="22"/>
        </w:rPr>
        <w:t xml:space="preserve"> </w:t>
      </w:r>
      <w:r w:rsidRPr="00D3251F">
        <w:rPr>
          <w:rFonts w:ascii="Palatino Linotype" w:hAnsi="Palatino Linotype" w:cs="Tahoma"/>
          <w:sz w:val="22"/>
          <w:szCs w:val="22"/>
        </w:rPr>
        <w:t>opisie przed tabelą Zamawiający wskazuje, że za każdą spełnioną funkcjonalność przyzna</w:t>
      </w:r>
      <w:r>
        <w:rPr>
          <w:rFonts w:ascii="Palatino Linotype" w:hAnsi="Palatino Linotype" w:cs="Tahoma"/>
          <w:sz w:val="22"/>
          <w:szCs w:val="22"/>
        </w:rPr>
        <w:t xml:space="preserve"> </w:t>
      </w:r>
      <w:r w:rsidRPr="00D3251F">
        <w:rPr>
          <w:rFonts w:ascii="Palatino Linotype" w:hAnsi="Palatino Linotype" w:cs="Tahoma"/>
          <w:sz w:val="22"/>
          <w:szCs w:val="22"/>
        </w:rPr>
        <w:t>max. 4 pkt. Jednocześnie w pkt. 16.5, Zamawiający pisze, że: „W ramach Kryterium</w:t>
      </w:r>
      <w:r>
        <w:rPr>
          <w:rFonts w:ascii="Palatino Linotype" w:hAnsi="Palatino Linotype" w:cs="Tahoma"/>
          <w:sz w:val="22"/>
          <w:szCs w:val="22"/>
        </w:rPr>
        <w:t xml:space="preserve"> </w:t>
      </w:r>
      <w:r w:rsidRPr="00D3251F">
        <w:rPr>
          <w:rFonts w:ascii="Palatino Linotype" w:hAnsi="Palatino Linotype" w:cs="Tahoma"/>
          <w:sz w:val="22"/>
          <w:szCs w:val="22"/>
        </w:rPr>
        <w:t>Funkcjonalności (K2) Zamawiający przyzna ofercie max. 48 pkt (po 4 pkt za każdą</w:t>
      </w:r>
      <w:r>
        <w:rPr>
          <w:rFonts w:ascii="Palatino Linotype" w:hAnsi="Palatino Linotype" w:cs="Tahoma"/>
          <w:sz w:val="22"/>
          <w:szCs w:val="22"/>
        </w:rPr>
        <w:t xml:space="preserve"> </w:t>
      </w:r>
      <w:r w:rsidRPr="00D3251F">
        <w:rPr>
          <w:rFonts w:ascii="Palatino Linotype" w:hAnsi="Palatino Linotype" w:cs="Tahoma"/>
          <w:sz w:val="22"/>
          <w:szCs w:val="22"/>
        </w:rPr>
        <w:t>zaoferowaną funkcjonalność)”. Liczba funkcjonalności podlegająca ocenie wynosi 10, co po</w:t>
      </w:r>
      <w:r>
        <w:rPr>
          <w:rFonts w:ascii="Palatino Linotype" w:hAnsi="Palatino Linotype" w:cs="Tahoma"/>
          <w:sz w:val="22"/>
          <w:szCs w:val="22"/>
        </w:rPr>
        <w:t xml:space="preserve"> </w:t>
      </w:r>
      <w:r w:rsidRPr="00D3251F">
        <w:rPr>
          <w:rFonts w:ascii="Palatino Linotype" w:hAnsi="Palatino Linotype" w:cs="Tahoma"/>
          <w:sz w:val="22"/>
          <w:szCs w:val="22"/>
        </w:rPr>
        <w:t>przemnożeniu przez 4 punkty, daje łączną wartość 40 punktów, co w naturalny sposób</w:t>
      </w:r>
      <w:r>
        <w:rPr>
          <w:rFonts w:ascii="Palatino Linotype" w:hAnsi="Palatino Linotype" w:cs="Tahoma"/>
          <w:sz w:val="22"/>
          <w:szCs w:val="22"/>
        </w:rPr>
        <w:t xml:space="preserve"> </w:t>
      </w:r>
      <w:r w:rsidRPr="00D3251F">
        <w:rPr>
          <w:rFonts w:ascii="Palatino Linotype" w:hAnsi="Palatino Linotype" w:cs="Tahoma"/>
          <w:sz w:val="22"/>
          <w:szCs w:val="22"/>
        </w:rPr>
        <w:t>pozostaje w sprzeczności z max. możliwą liczba punktów które można uzyskać w tym</w:t>
      </w:r>
      <w:r>
        <w:rPr>
          <w:rFonts w:ascii="Palatino Linotype" w:hAnsi="Palatino Linotype" w:cs="Tahoma"/>
          <w:sz w:val="22"/>
          <w:szCs w:val="22"/>
        </w:rPr>
        <w:t xml:space="preserve"> </w:t>
      </w:r>
      <w:r w:rsidRPr="00D3251F">
        <w:rPr>
          <w:rFonts w:ascii="Palatino Linotype" w:hAnsi="Palatino Linotype" w:cs="Tahoma"/>
          <w:sz w:val="22"/>
          <w:szCs w:val="22"/>
        </w:rPr>
        <w:t>kryterium.</w:t>
      </w:r>
      <w:r>
        <w:rPr>
          <w:rFonts w:ascii="Palatino Linotype" w:hAnsi="Palatino Linotype" w:cs="Tahoma"/>
          <w:sz w:val="22"/>
          <w:szCs w:val="22"/>
        </w:rPr>
        <w:t xml:space="preserve"> </w:t>
      </w:r>
      <w:r w:rsidRPr="00D3251F">
        <w:rPr>
          <w:rFonts w:ascii="Palatino Linotype" w:hAnsi="Palatino Linotype" w:cs="Tahoma"/>
          <w:sz w:val="22"/>
          <w:szCs w:val="22"/>
        </w:rPr>
        <w:t>W pkt 16.6 została wskazana liczba punktów, jakie Wykonawca może uzyskać za</w:t>
      </w:r>
      <w:r>
        <w:rPr>
          <w:rFonts w:ascii="Palatino Linotype" w:hAnsi="Palatino Linotype" w:cs="Tahoma"/>
          <w:sz w:val="22"/>
          <w:szCs w:val="22"/>
        </w:rPr>
        <w:t xml:space="preserve"> </w:t>
      </w:r>
      <w:r w:rsidRPr="00D3251F">
        <w:rPr>
          <w:rFonts w:ascii="Palatino Linotype" w:hAnsi="Palatino Linotype" w:cs="Tahoma"/>
          <w:sz w:val="22"/>
          <w:szCs w:val="22"/>
        </w:rPr>
        <w:t>wydłużenie okresu gwarancji. Maksymalna liczba punktów jakie może uzyskać</w:t>
      </w:r>
      <w:r>
        <w:rPr>
          <w:rFonts w:ascii="Palatino Linotype" w:hAnsi="Palatino Linotype" w:cs="Tahoma"/>
          <w:sz w:val="22"/>
          <w:szCs w:val="22"/>
        </w:rPr>
        <w:t xml:space="preserve"> </w:t>
      </w:r>
      <w:r w:rsidRPr="00D3251F">
        <w:rPr>
          <w:rFonts w:ascii="Palatino Linotype" w:hAnsi="Palatino Linotype" w:cs="Tahoma"/>
          <w:sz w:val="22"/>
          <w:szCs w:val="22"/>
        </w:rPr>
        <w:t>Wykonawca wynosi 2, jeżeli zaoferuje 5 letni okres gwarancji. Jednocześnie w komentarzu</w:t>
      </w:r>
      <w:r>
        <w:rPr>
          <w:rFonts w:ascii="Palatino Linotype" w:hAnsi="Palatino Linotype" w:cs="Tahoma"/>
          <w:sz w:val="22"/>
          <w:szCs w:val="22"/>
        </w:rPr>
        <w:t xml:space="preserve"> </w:t>
      </w:r>
      <w:r w:rsidRPr="00D3251F">
        <w:rPr>
          <w:rFonts w:ascii="Palatino Linotype" w:hAnsi="Palatino Linotype" w:cs="Tahoma"/>
          <w:sz w:val="22"/>
          <w:szCs w:val="22"/>
        </w:rPr>
        <w:t>pod tabelą, Zamawiający wskazuje, że za zaoferowanie okresu gwarancji dłuższego niż 5 lat</w:t>
      </w:r>
      <w:r>
        <w:rPr>
          <w:rFonts w:ascii="Palatino Linotype" w:hAnsi="Palatino Linotype" w:cs="Tahoma"/>
          <w:sz w:val="22"/>
          <w:szCs w:val="22"/>
        </w:rPr>
        <w:t xml:space="preserve"> </w:t>
      </w:r>
      <w:r w:rsidRPr="00D3251F">
        <w:rPr>
          <w:rFonts w:ascii="Palatino Linotype" w:hAnsi="Palatino Linotype" w:cs="Tahoma"/>
          <w:sz w:val="22"/>
          <w:szCs w:val="22"/>
        </w:rPr>
        <w:t>Zamawiający przyzna 10 punktów</w:t>
      </w:r>
    </w:p>
    <w:p w14:paraId="19F1C07F" w14:textId="77777777" w:rsidR="00F37FD1"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Biorąc pod uwagę, że:</w:t>
      </w:r>
      <w:r>
        <w:rPr>
          <w:rFonts w:ascii="Palatino Linotype" w:hAnsi="Palatino Linotype" w:cs="Tahoma"/>
          <w:sz w:val="22"/>
          <w:szCs w:val="22"/>
        </w:rPr>
        <w:t xml:space="preserve"> </w:t>
      </w:r>
    </w:p>
    <w:p w14:paraId="6FC3AAD8" w14:textId="77777777" w:rsidR="00F37FD1"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 Wykonawca zaoferuje najkorzystniejszą cenę (K1) - otrzyma 40 punktów,</w:t>
      </w:r>
      <w:r w:rsidR="00F37FD1">
        <w:rPr>
          <w:rFonts w:ascii="Palatino Linotype" w:hAnsi="Palatino Linotype" w:cs="Tahoma"/>
          <w:sz w:val="22"/>
          <w:szCs w:val="22"/>
        </w:rPr>
        <w:t xml:space="preserve"> </w:t>
      </w:r>
    </w:p>
    <w:p w14:paraId="118CCB7E" w14:textId="3FCCAE45" w:rsidR="00D3251F" w:rsidRPr="00D3251F"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 uzyska maksymalną liczbę punktów w kryterium funkcjonalności (K2) - 48 punktów,</w:t>
      </w:r>
      <w:r w:rsidRPr="00D3251F">
        <w:rPr>
          <w:rFonts w:ascii="Palatino Linotype" w:hAnsi="Palatino Linotype" w:cs="Tahoma"/>
          <w:sz w:val="22"/>
          <w:szCs w:val="22"/>
        </w:rPr>
        <w:br/>
        <w:t>- zaoferuje np. 6 letni okres gwarancji (K3) - otrzyma 10 punktów,</w:t>
      </w:r>
      <w:r w:rsidRPr="00D3251F">
        <w:rPr>
          <w:rFonts w:ascii="Palatino Linotype" w:hAnsi="Palatino Linotype" w:cs="Tahoma"/>
          <w:sz w:val="22"/>
          <w:szCs w:val="22"/>
        </w:rPr>
        <w:br/>
        <w:t>- skróci okres realizacji Etapu III do 30 dni (K4) – otrzyma 10 punktów,</w:t>
      </w:r>
      <w:r w:rsidRPr="00D3251F">
        <w:rPr>
          <w:rFonts w:ascii="Palatino Linotype" w:hAnsi="Palatino Linotype" w:cs="Tahoma"/>
          <w:sz w:val="22"/>
          <w:szCs w:val="22"/>
        </w:rPr>
        <w:br/>
        <w:t xml:space="preserve">wówczas Wykonawca otrzyma 108 punktów, co pozostaje w sprzeczności z pkt 16.1, </w:t>
      </w:r>
      <w:r w:rsidRPr="00D3251F">
        <w:rPr>
          <w:rFonts w:ascii="Palatino Linotype" w:hAnsi="Palatino Linotype" w:cs="Tahoma"/>
          <w:sz w:val="22"/>
          <w:szCs w:val="22"/>
        </w:rPr>
        <w:lastRenderedPageBreak/>
        <w:t>gdzie</w:t>
      </w:r>
      <w:r w:rsidR="00F37FD1">
        <w:rPr>
          <w:rFonts w:ascii="Palatino Linotype" w:hAnsi="Palatino Linotype" w:cs="Tahoma"/>
          <w:sz w:val="22"/>
          <w:szCs w:val="22"/>
        </w:rPr>
        <w:t xml:space="preserve"> </w:t>
      </w:r>
      <w:r w:rsidRPr="00D3251F">
        <w:rPr>
          <w:rFonts w:ascii="Palatino Linotype" w:hAnsi="Palatino Linotype" w:cs="Tahoma"/>
          <w:sz w:val="22"/>
          <w:szCs w:val="22"/>
        </w:rPr>
        <w:t>maksymalna liczba punktów możliwa do uzyskania wynosi 100.</w:t>
      </w:r>
      <w:r w:rsidRPr="00D3251F">
        <w:rPr>
          <w:rFonts w:ascii="Palatino Linotype" w:hAnsi="Palatino Linotype" w:cs="Tahoma"/>
          <w:sz w:val="22"/>
          <w:szCs w:val="22"/>
        </w:rPr>
        <w:br/>
        <w:t>Prosimy o wyjaśnienie w jaki sposób będą przyznawane punkty w szczególności za</w:t>
      </w:r>
      <w:r w:rsidRPr="00D3251F">
        <w:rPr>
          <w:rFonts w:ascii="Palatino Linotype" w:hAnsi="Palatino Linotype" w:cs="Tahoma"/>
          <w:sz w:val="22"/>
          <w:szCs w:val="22"/>
        </w:rPr>
        <w:br/>
        <w:t>kryterium K2 i K3.</w:t>
      </w:r>
    </w:p>
    <w:p w14:paraId="6BF4AC49" w14:textId="77777777" w:rsidR="00F37FD1" w:rsidRPr="0003655A" w:rsidRDefault="00F37FD1" w:rsidP="3DFD1CFE">
      <w:pPr>
        <w:pStyle w:val="Akapitzlist"/>
        <w:spacing w:after="60" w:line="276" w:lineRule="auto"/>
        <w:ind w:left="851"/>
        <w:contextualSpacing w:val="0"/>
        <w:jc w:val="both"/>
        <w:rPr>
          <w:rFonts w:ascii="Palatino Linotype" w:hAnsi="Palatino Linotype" w:cs="Tahoma"/>
          <w:b/>
          <w:bCs/>
          <w:sz w:val="22"/>
          <w:szCs w:val="22"/>
        </w:rPr>
      </w:pPr>
      <w:r w:rsidRPr="0003655A">
        <w:rPr>
          <w:rFonts w:ascii="Palatino Linotype" w:hAnsi="Palatino Linotype" w:cs="Tahoma"/>
          <w:b/>
          <w:bCs/>
          <w:sz w:val="22"/>
          <w:szCs w:val="22"/>
        </w:rPr>
        <w:t>Odpowiedź:</w:t>
      </w:r>
    </w:p>
    <w:p w14:paraId="14791F2E" w14:textId="5F5E8B8C" w:rsidR="00D3251F" w:rsidRPr="0003655A" w:rsidRDefault="54EE0181" w:rsidP="0003655A">
      <w:pPr>
        <w:pStyle w:val="Akapitzlist"/>
        <w:spacing w:line="276" w:lineRule="auto"/>
        <w:ind w:left="851"/>
        <w:jc w:val="both"/>
        <w:rPr>
          <w:rFonts w:ascii="Palatino Linotype" w:hAnsi="Palatino Linotype" w:cs="Tahoma"/>
          <w:sz w:val="22"/>
          <w:szCs w:val="22"/>
        </w:rPr>
      </w:pPr>
      <w:r w:rsidRPr="3DFD1CFE">
        <w:rPr>
          <w:rFonts w:ascii="Palatino Linotype" w:eastAsia="Palatino Linotype" w:hAnsi="Palatino Linotype" w:cs="Palatino Linotype"/>
          <w:b/>
          <w:bCs/>
          <w:color w:val="385623" w:themeColor="accent6" w:themeShade="80"/>
          <w:sz w:val="22"/>
          <w:szCs w:val="22"/>
        </w:rPr>
        <w:t xml:space="preserve"> </w:t>
      </w:r>
      <w:r w:rsidRPr="0003655A">
        <w:rPr>
          <w:rFonts w:ascii="Palatino Linotype" w:hAnsi="Palatino Linotype" w:cs="Tahoma"/>
          <w:sz w:val="22"/>
          <w:szCs w:val="22"/>
        </w:rPr>
        <w:t>Zamawiający zmienia pkt. 16.4 i 16. 5 SWZ w ten sposób, że otrzymują one brzmienie:</w:t>
      </w:r>
    </w:p>
    <w:p w14:paraId="2C9F32EE" w14:textId="23B29FB0" w:rsidR="00D3251F" w:rsidRPr="0003655A" w:rsidRDefault="54EE0181" w:rsidP="0003655A">
      <w:pPr>
        <w:pStyle w:val="Akapitzlist"/>
        <w:spacing w:line="276" w:lineRule="auto"/>
        <w:ind w:left="851"/>
        <w:jc w:val="both"/>
        <w:rPr>
          <w:rFonts w:ascii="Palatino Linotype" w:hAnsi="Palatino Linotype" w:cs="Tahoma"/>
          <w:sz w:val="22"/>
          <w:szCs w:val="22"/>
        </w:rPr>
      </w:pPr>
      <w:r w:rsidRPr="0003655A">
        <w:rPr>
          <w:rFonts w:ascii="Palatino Linotype" w:hAnsi="Palatino Linotype" w:cs="Tahoma"/>
          <w:sz w:val="22"/>
          <w:szCs w:val="22"/>
        </w:rPr>
        <w:t>16.4.</w:t>
      </w:r>
      <w:r w:rsidR="00420DAC">
        <w:tab/>
      </w:r>
      <w:r w:rsidRPr="0003655A">
        <w:rPr>
          <w:rFonts w:ascii="Palatino Linotype" w:hAnsi="Palatino Linotype" w:cs="Tahoma"/>
          <w:sz w:val="22"/>
          <w:szCs w:val="22"/>
        </w:rPr>
        <w:t>Zamawiający informuje, że w ramach przedmiotowego kryterium rozpatrywany będzie sposób uzupełnienia tabeli w Formularzu ofertowym. Za zaoferowanie przez wykonawcę każdej z wymaganej przez Zamawiającego funkcjonalności Wykonawca otrzyma liczbę punktów zgodnie z poniższą tabelą. Brak uzupełnienia wspomnianej tabeli (tj. wskazania TAK lub NIE) skutkować będzie przyznaniem liczby 0 punktów w zakresie odrębnej funkcjonalności.</w:t>
      </w:r>
    </w:p>
    <w:p w14:paraId="4FA96859" w14:textId="0701A6CF" w:rsidR="00D3251F" w:rsidRPr="0003655A" w:rsidRDefault="54EE0181" w:rsidP="0003655A">
      <w:pPr>
        <w:pStyle w:val="Akapitzlist"/>
        <w:spacing w:line="276" w:lineRule="auto"/>
        <w:ind w:left="851"/>
        <w:jc w:val="both"/>
        <w:rPr>
          <w:rFonts w:ascii="Palatino Linotype" w:hAnsi="Palatino Linotype" w:cs="Tahoma"/>
          <w:sz w:val="22"/>
          <w:szCs w:val="22"/>
        </w:rPr>
      </w:pPr>
      <w:r w:rsidRPr="0003655A">
        <w:rPr>
          <w:rFonts w:ascii="Palatino Linotype" w:hAnsi="Palatino Linotype" w:cs="Tahoma"/>
          <w:sz w:val="22"/>
          <w:szCs w:val="22"/>
        </w:rPr>
        <w:t>[…]</w:t>
      </w:r>
    </w:p>
    <w:p w14:paraId="5811D5D0" w14:textId="23E582E8" w:rsidR="00D3251F" w:rsidRPr="0003655A" w:rsidRDefault="54EE0181" w:rsidP="0003655A">
      <w:pPr>
        <w:pStyle w:val="Akapitzlist"/>
        <w:spacing w:line="276" w:lineRule="auto"/>
        <w:ind w:left="851"/>
        <w:jc w:val="both"/>
        <w:rPr>
          <w:rFonts w:ascii="Palatino Linotype" w:hAnsi="Palatino Linotype" w:cs="Tahoma"/>
          <w:sz w:val="22"/>
          <w:szCs w:val="22"/>
        </w:rPr>
      </w:pPr>
      <w:r w:rsidRPr="0003655A">
        <w:rPr>
          <w:rFonts w:ascii="Palatino Linotype" w:hAnsi="Palatino Linotype" w:cs="Tahoma"/>
          <w:sz w:val="22"/>
          <w:szCs w:val="22"/>
        </w:rPr>
        <w:t>16.5.</w:t>
      </w:r>
      <w:r w:rsidR="00420DAC">
        <w:tab/>
      </w:r>
      <w:r w:rsidRPr="0003655A">
        <w:rPr>
          <w:rFonts w:ascii="Palatino Linotype" w:hAnsi="Palatino Linotype" w:cs="Tahoma"/>
          <w:sz w:val="22"/>
          <w:szCs w:val="22"/>
        </w:rPr>
        <w:t>W ramach Kryterium Funkcjonalności (K2) Zamawiający przyzna ofercie max. 48 pkt.</w:t>
      </w:r>
    </w:p>
    <w:p w14:paraId="7F7DD764" w14:textId="7C3D65D0" w:rsidR="00D3251F" w:rsidRPr="0003655A" w:rsidRDefault="54EE0181" w:rsidP="0003655A">
      <w:pPr>
        <w:pStyle w:val="Akapitzlist"/>
        <w:spacing w:line="276" w:lineRule="auto"/>
        <w:ind w:left="851"/>
        <w:jc w:val="both"/>
        <w:rPr>
          <w:rFonts w:ascii="Palatino Linotype" w:hAnsi="Palatino Linotype" w:cs="Tahoma"/>
          <w:sz w:val="22"/>
          <w:szCs w:val="22"/>
        </w:rPr>
      </w:pPr>
      <w:r w:rsidRPr="0003655A">
        <w:rPr>
          <w:rFonts w:ascii="Palatino Linotype" w:hAnsi="Palatino Linotype" w:cs="Tahoma"/>
          <w:sz w:val="22"/>
          <w:szCs w:val="22"/>
        </w:rPr>
        <w:t>Zamawiający zmienia pkt 16.6 (opis pod tabelą) w ten sposób, że otrzymuje on brzmienie:</w:t>
      </w:r>
    </w:p>
    <w:p w14:paraId="7DAD76CF" w14:textId="2D302442" w:rsidR="00D3251F" w:rsidRPr="0003655A" w:rsidRDefault="54EE0181" w:rsidP="0003655A">
      <w:pPr>
        <w:pStyle w:val="Akapitzlist"/>
        <w:spacing w:line="276" w:lineRule="auto"/>
        <w:ind w:left="851"/>
        <w:jc w:val="both"/>
        <w:rPr>
          <w:rFonts w:ascii="Palatino Linotype" w:hAnsi="Palatino Linotype" w:cs="Tahoma"/>
          <w:sz w:val="22"/>
          <w:szCs w:val="22"/>
        </w:rPr>
      </w:pPr>
      <w:r w:rsidRPr="0003655A">
        <w:rPr>
          <w:rFonts w:ascii="Palatino Linotype" w:hAnsi="Palatino Linotype" w:cs="Tahoma"/>
          <w:sz w:val="22"/>
          <w:szCs w:val="22"/>
        </w:rPr>
        <w:t>Jeśli Wykonawca w ofercie wskaże okres krótszy niż 3 lata oferta zostanie odrzucona. Jeśli Wykonawca w ofercie nie określi okresu obowiązywania gwarancji, Zamawiający przyjmie zaoferowanie jej na okres 3 lat. Zaoferowanie okresu obowiązywania gwarancji na czas dłuższy niż 5 lat skutkować będzie przyznaniu 2 pkt jednak Wykonawca zobowiązany będzie świadczyć gwarancję przez wskazany przez siebie okres.</w:t>
      </w:r>
    </w:p>
    <w:p w14:paraId="20D38460" w14:textId="77777777" w:rsidR="00420DAC" w:rsidRDefault="00420DAC" w:rsidP="00D3251F">
      <w:pPr>
        <w:pStyle w:val="Akapitzlist"/>
        <w:spacing w:after="60" w:line="276" w:lineRule="auto"/>
        <w:ind w:left="851"/>
        <w:jc w:val="both"/>
        <w:rPr>
          <w:rFonts w:ascii="Palatino Linotype" w:hAnsi="Palatino Linotype" w:cs="Tahoma"/>
          <w:sz w:val="22"/>
          <w:szCs w:val="22"/>
        </w:rPr>
      </w:pPr>
    </w:p>
    <w:p w14:paraId="7B3452ED" w14:textId="77777777" w:rsidR="00D3251F" w:rsidRDefault="00D3251F" w:rsidP="00D3251F">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7BD1312E" w14:textId="32D4F575" w:rsidR="00D3251F" w:rsidRPr="00D3251F"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Dotyczy Załącznika nr 1 OPZ; rozdz. 12 pkt 2</w:t>
      </w:r>
      <w:r w:rsidR="00F37FD1">
        <w:rPr>
          <w:rFonts w:ascii="Palatino Linotype" w:hAnsi="Palatino Linotype" w:cs="Tahoma"/>
          <w:sz w:val="22"/>
          <w:szCs w:val="22"/>
        </w:rPr>
        <w:t xml:space="preserve"> </w:t>
      </w:r>
      <w:r w:rsidRPr="00D3251F">
        <w:rPr>
          <w:rFonts w:ascii="Palatino Linotype" w:hAnsi="Palatino Linotype" w:cs="Tahoma"/>
          <w:sz w:val="22"/>
          <w:szCs w:val="22"/>
        </w:rPr>
        <w:t>„2. Zgłoszenia awarii następować będzie w trybie 8/5/NBD i musi być dokonywane w</w:t>
      </w:r>
      <w:r w:rsidR="00F37FD1">
        <w:rPr>
          <w:rFonts w:ascii="Palatino Linotype" w:hAnsi="Palatino Linotype" w:cs="Tahoma"/>
          <w:sz w:val="22"/>
          <w:szCs w:val="22"/>
        </w:rPr>
        <w:t xml:space="preserve"> </w:t>
      </w:r>
      <w:r w:rsidRPr="00D3251F">
        <w:rPr>
          <w:rFonts w:ascii="Palatino Linotype" w:hAnsi="Palatino Linotype" w:cs="Tahoma"/>
          <w:sz w:val="22"/>
          <w:szCs w:val="22"/>
        </w:rPr>
        <w:t>postaci: zgłoszenia telefonicznego, z wykorzystaniem serwisu www lub za pomocą poczty</w:t>
      </w:r>
      <w:r w:rsidR="00F37FD1">
        <w:rPr>
          <w:rFonts w:ascii="Palatino Linotype" w:hAnsi="Palatino Linotype" w:cs="Tahoma"/>
          <w:sz w:val="22"/>
          <w:szCs w:val="22"/>
        </w:rPr>
        <w:t xml:space="preserve"> </w:t>
      </w:r>
      <w:r w:rsidRPr="00D3251F">
        <w:rPr>
          <w:rFonts w:ascii="Palatino Linotype" w:hAnsi="Palatino Linotype" w:cs="Tahoma"/>
          <w:sz w:val="22"/>
          <w:szCs w:val="22"/>
        </w:rPr>
        <w:t>elektronicznej, wszystkie wymienione kanały komunikacji muszą być świadczone w języku</w:t>
      </w:r>
      <w:r w:rsidR="00F37FD1">
        <w:rPr>
          <w:rFonts w:ascii="Palatino Linotype" w:hAnsi="Palatino Linotype" w:cs="Tahoma"/>
          <w:sz w:val="22"/>
          <w:szCs w:val="22"/>
        </w:rPr>
        <w:t xml:space="preserve"> </w:t>
      </w:r>
      <w:r w:rsidRPr="00D3251F">
        <w:rPr>
          <w:rFonts w:ascii="Palatino Linotype" w:hAnsi="Palatino Linotype" w:cs="Tahoma"/>
          <w:sz w:val="22"/>
          <w:szCs w:val="22"/>
        </w:rPr>
        <w:t>polskim.”</w:t>
      </w:r>
      <w:r w:rsidR="00F37FD1">
        <w:rPr>
          <w:rFonts w:ascii="Palatino Linotype" w:hAnsi="Palatino Linotype" w:cs="Tahoma"/>
          <w:sz w:val="22"/>
          <w:szCs w:val="22"/>
        </w:rPr>
        <w:t xml:space="preserve"> </w:t>
      </w:r>
      <w:r w:rsidRPr="00D3251F">
        <w:rPr>
          <w:rFonts w:ascii="Palatino Linotype" w:hAnsi="Palatino Linotype" w:cs="Tahoma"/>
          <w:sz w:val="22"/>
          <w:szCs w:val="22"/>
        </w:rPr>
        <w:t>W rozdziale 5 OPZ „Szczegółowa specyfikacja infrastruktury sprzętowo – programowej”</w:t>
      </w:r>
      <w:r w:rsidR="00F37FD1">
        <w:rPr>
          <w:rFonts w:ascii="Palatino Linotype" w:hAnsi="Palatino Linotype" w:cs="Tahoma"/>
          <w:sz w:val="22"/>
          <w:szCs w:val="22"/>
        </w:rPr>
        <w:t xml:space="preserve"> </w:t>
      </w:r>
      <w:r w:rsidRPr="00D3251F">
        <w:rPr>
          <w:rFonts w:ascii="Palatino Linotype" w:hAnsi="Palatino Linotype" w:cs="Tahoma"/>
          <w:sz w:val="22"/>
          <w:szCs w:val="22"/>
        </w:rPr>
        <w:t>Zamawiający przedstawia wymagania w zakresie gwarancji dla poszczególnych</w:t>
      </w:r>
      <w:r w:rsidR="00F37FD1">
        <w:rPr>
          <w:rFonts w:ascii="Palatino Linotype" w:hAnsi="Palatino Linotype" w:cs="Tahoma"/>
          <w:sz w:val="22"/>
          <w:szCs w:val="22"/>
        </w:rPr>
        <w:t xml:space="preserve"> </w:t>
      </w:r>
      <w:r w:rsidRPr="00D3251F">
        <w:rPr>
          <w:rFonts w:ascii="Palatino Linotype" w:hAnsi="Palatino Linotype" w:cs="Tahoma"/>
          <w:sz w:val="22"/>
          <w:szCs w:val="22"/>
        </w:rPr>
        <w:t>elementów infrastruktury sprzętowo – programowej. Ponieważ wymagania te nie są</w:t>
      </w:r>
      <w:r w:rsidR="00F37FD1">
        <w:rPr>
          <w:rFonts w:ascii="Palatino Linotype" w:hAnsi="Palatino Linotype" w:cs="Tahoma"/>
          <w:sz w:val="22"/>
          <w:szCs w:val="22"/>
        </w:rPr>
        <w:t xml:space="preserve"> </w:t>
      </w:r>
      <w:r w:rsidRPr="00D3251F">
        <w:rPr>
          <w:rFonts w:ascii="Palatino Linotype" w:hAnsi="Palatino Linotype" w:cs="Tahoma"/>
          <w:sz w:val="22"/>
          <w:szCs w:val="22"/>
        </w:rPr>
        <w:t>identyczne dla poszczególnych elementów oraz nie zawsze pokrywają się z ogólnym</w:t>
      </w:r>
      <w:r w:rsidR="00F37FD1">
        <w:rPr>
          <w:rFonts w:ascii="Palatino Linotype" w:hAnsi="Palatino Linotype" w:cs="Tahoma"/>
          <w:sz w:val="22"/>
          <w:szCs w:val="22"/>
        </w:rPr>
        <w:t xml:space="preserve"> </w:t>
      </w:r>
      <w:r w:rsidRPr="00D3251F">
        <w:rPr>
          <w:rFonts w:ascii="Palatino Linotype" w:hAnsi="Palatino Linotype" w:cs="Tahoma"/>
          <w:sz w:val="22"/>
          <w:szCs w:val="22"/>
        </w:rPr>
        <w:t>wymogiem dotyczącym gwarancji zapisanym w rozdziale 12 OPZ „Gwarancja” zwracamy</w:t>
      </w:r>
      <w:r w:rsidR="00F37FD1">
        <w:rPr>
          <w:rFonts w:ascii="Palatino Linotype" w:hAnsi="Palatino Linotype" w:cs="Tahoma"/>
          <w:sz w:val="22"/>
          <w:szCs w:val="22"/>
        </w:rPr>
        <w:t xml:space="preserve"> </w:t>
      </w:r>
      <w:r w:rsidRPr="00D3251F">
        <w:rPr>
          <w:rFonts w:ascii="Palatino Linotype" w:hAnsi="Palatino Linotype" w:cs="Tahoma"/>
          <w:sz w:val="22"/>
          <w:szCs w:val="22"/>
        </w:rPr>
        <w:t>się z prośbą o wyjaśnienie – które zapisy są wiążące dla Oferenta?</w:t>
      </w:r>
    </w:p>
    <w:p w14:paraId="24825306" w14:textId="77777777" w:rsidR="00F37FD1" w:rsidRDefault="00F37FD1" w:rsidP="00F37FD1">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50071AA3" w14:textId="49817C16" w:rsidR="00D3251F" w:rsidRDefault="00F37FD1" w:rsidP="00D3251F">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 xml:space="preserve">Zamawiający wyjaśnia, że w rozdziale 12 Gwarancja Zamawiający zawarł ogólne wymagania gwarancyjne odnoszące się do wszystkich dostarczanych rozwiązań. Natomiast przy niektórych rozwiązaniach Zamawiający zawarł bardziej szczegółowe wymagania gwarancyjno-serwisowe jakie należy spełnić dla tych rozwiązań. A zatem </w:t>
      </w:r>
      <w:r w:rsidRPr="0003655A">
        <w:rPr>
          <w:rFonts w:ascii="Palatino Linotype" w:hAnsi="Palatino Linotype" w:cs="Tahoma"/>
          <w:sz w:val="22"/>
          <w:szCs w:val="22"/>
        </w:rPr>
        <w:lastRenderedPageBreak/>
        <w:t>dodatkowe wymagania zawarte przy</w:t>
      </w:r>
      <w:r w:rsidRPr="3DFD1CFE">
        <w:rPr>
          <w:rFonts w:ascii="Palatino Linotype" w:hAnsi="Palatino Linotype" w:cs="Tahoma"/>
          <w:sz w:val="22"/>
          <w:szCs w:val="22"/>
        </w:rPr>
        <w:t xml:space="preserve"> opisach niektórych rozwiązań są niejako uzupełnieniem opisu wymagań gwarancyjno-serwisowych zawartych w rozdziale 12. </w:t>
      </w:r>
    </w:p>
    <w:p w14:paraId="078232F5" w14:textId="77777777" w:rsidR="00F37FD1" w:rsidRDefault="00F37FD1" w:rsidP="00D3251F">
      <w:pPr>
        <w:pStyle w:val="Akapitzlist"/>
        <w:spacing w:after="60" w:line="276" w:lineRule="auto"/>
        <w:ind w:left="851"/>
        <w:jc w:val="both"/>
        <w:rPr>
          <w:rFonts w:ascii="Palatino Linotype" w:hAnsi="Palatino Linotype" w:cs="Tahoma"/>
          <w:sz w:val="22"/>
          <w:szCs w:val="22"/>
        </w:rPr>
      </w:pPr>
    </w:p>
    <w:p w14:paraId="67966DFF" w14:textId="77777777" w:rsidR="00D3251F" w:rsidRDefault="00D3251F" w:rsidP="00D3251F">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781A5493" w14:textId="36A98947" w:rsidR="00D3251F"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Dotyczy Załącznika nr 1 OPZ; rozdz. 12 pkt 2</w:t>
      </w:r>
      <w:r w:rsidR="00F37FD1">
        <w:rPr>
          <w:rFonts w:ascii="Palatino Linotype" w:hAnsi="Palatino Linotype" w:cs="Tahoma"/>
          <w:sz w:val="22"/>
          <w:szCs w:val="22"/>
        </w:rPr>
        <w:t xml:space="preserve"> </w:t>
      </w:r>
      <w:r w:rsidRPr="00D3251F">
        <w:rPr>
          <w:rFonts w:ascii="Palatino Linotype" w:hAnsi="Palatino Linotype" w:cs="Tahoma"/>
          <w:sz w:val="22"/>
          <w:szCs w:val="22"/>
        </w:rPr>
        <w:t>„2. Zgłoszenia awarii następować będzie w trybie 8/5/NBD i musi być dokonywane w</w:t>
      </w:r>
      <w:r w:rsidR="00F37FD1">
        <w:rPr>
          <w:rFonts w:ascii="Palatino Linotype" w:hAnsi="Palatino Linotype" w:cs="Tahoma"/>
          <w:sz w:val="22"/>
          <w:szCs w:val="22"/>
        </w:rPr>
        <w:t xml:space="preserve"> </w:t>
      </w:r>
      <w:r w:rsidRPr="00D3251F">
        <w:rPr>
          <w:rFonts w:ascii="Palatino Linotype" w:hAnsi="Palatino Linotype" w:cs="Tahoma"/>
          <w:sz w:val="22"/>
          <w:szCs w:val="22"/>
        </w:rPr>
        <w:t>postaci: zgłoszenia telefonicznego, z wykorzystaniem serwisu www lub za pomocą poczty</w:t>
      </w:r>
      <w:r w:rsidR="00F37FD1">
        <w:rPr>
          <w:rFonts w:ascii="Palatino Linotype" w:hAnsi="Palatino Linotype" w:cs="Tahoma"/>
          <w:sz w:val="22"/>
          <w:szCs w:val="22"/>
        </w:rPr>
        <w:t xml:space="preserve"> </w:t>
      </w:r>
      <w:r w:rsidRPr="00D3251F">
        <w:rPr>
          <w:rFonts w:ascii="Palatino Linotype" w:hAnsi="Palatino Linotype" w:cs="Tahoma"/>
          <w:sz w:val="22"/>
          <w:szCs w:val="22"/>
        </w:rPr>
        <w:t>elektronicznej, wszystkie wymienione kanały komunikacji muszą być świadczone w języku</w:t>
      </w:r>
      <w:r w:rsidR="00F37FD1">
        <w:rPr>
          <w:rFonts w:ascii="Palatino Linotype" w:hAnsi="Palatino Linotype" w:cs="Tahoma"/>
          <w:sz w:val="22"/>
          <w:szCs w:val="22"/>
        </w:rPr>
        <w:t xml:space="preserve"> </w:t>
      </w:r>
      <w:r w:rsidRPr="00D3251F">
        <w:rPr>
          <w:rFonts w:ascii="Palatino Linotype" w:hAnsi="Palatino Linotype" w:cs="Tahoma"/>
          <w:sz w:val="22"/>
          <w:szCs w:val="22"/>
        </w:rPr>
        <w:t>polskim.”</w:t>
      </w:r>
      <w:r w:rsidR="00F37FD1">
        <w:rPr>
          <w:rFonts w:ascii="Palatino Linotype" w:hAnsi="Palatino Linotype" w:cs="Tahoma"/>
          <w:sz w:val="22"/>
          <w:szCs w:val="22"/>
        </w:rPr>
        <w:t xml:space="preserve"> </w:t>
      </w:r>
      <w:r w:rsidRPr="00D3251F">
        <w:rPr>
          <w:rFonts w:ascii="Palatino Linotype" w:hAnsi="Palatino Linotype" w:cs="Tahoma"/>
          <w:sz w:val="22"/>
          <w:szCs w:val="22"/>
        </w:rPr>
        <w:t>Prosimy o doprecyzowanie zapisu „Zgłoszenia awarii następować będzie w trybie</w:t>
      </w:r>
      <w:r w:rsidR="00F37FD1">
        <w:rPr>
          <w:rFonts w:ascii="Palatino Linotype" w:hAnsi="Palatino Linotype" w:cs="Tahoma"/>
          <w:sz w:val="22"/>
          <w:szCs w:val="22"/>
        </w:rPr>
        <w:t xml:space="preserve"> </w:t>
      </w:r>
      <w:r w:rsidRPr="00D3251F">
        <w:rPr>
          <w:rFonts w:ascii="Palatino Linotype" w:hAnsi="Palatino Linotype" w:cs="Tahoma"/>
          <w:sz w:val="22"/>
          <w:szCs w:val="22"/>
        </w:rPr>
        <w:t>8/5/NBD” Wsparcie gwarancyjne musi opierać się na wsparciu Producentów</w:t>
      </w:r>
      <w:r w:rsidR="00F37FD1">
        <w:rPr>
          <w:rFonts w:ascii="Palatino Linotype" w:hAnsi="Palatino Linotype" w:cs="Tahoma"/>
          <w:sz w:val="22"/>
          <w:szCs w:val="22"/>
        </w:rPr>
        <w:t xml:space="preserve"> </w:t>
      </w:r>
      <w:r w:rsidRPr="00D3251F">
        <w:rPr>
          <w:rFonts w:ascii="Palatino Linotype" w:hAnsi="Palatino Linotype" w:cs="Tahoma"/>
          <w:sz w:val="22"/>
          <w:szCs w:val="22"/>
        </w:rPr>
        <w:t>sprzętu/oprogramowania, którzy różnie interpretują termin NBD – jako czas reakcji lub jako</w:t>
      </w:r>
      <w:r w:rsidR="00F37FD1">
        <w:rPr>
          <w:rFonts w:ascii="Palatino Linotype" w:hAnsi="Palatino Linotype" w:cs="Tahoma"/>
          <w:sz w:val="22"/>
          <w:szCs w:val="22"/>
        </w:rPr>
        <w:t xml:space="preserve"> </w:t>
      </w:r>
      <w:r w:rsidRPr="00D3251F">
        <w:rPr>
          <w:rFonts w:ascii="Palatino Linotype" w:hAnsi="Palatino Linotype" w:cs="Tahoma"/>
          <w:sz w:val="22"/>
          <w:szCs w:val="22"/>
        </w:rPr>
        <w:t xml:space="preserve">czas naprawy, dodatkowo uzależniając dotrzymanie </w:t>
      </w:r>
      <w:proofErr w:type="spellStart"/>
      <w:r w:rsidRPr="00D3251F">
        <w:rPr>
          <w:rFonts w:ascii="Palatino Linotype" w:hAnsi="Palatino Linotype" w:cs="Tahoma"/>
          <w:sz w:val="22"/>
          <w:szCs w:val="22"/>
        </w:rPr>
        <w:t>ww</w:t>
      </w:r>
      <w:proofErr w:type="spellEnd"/>
      <w:r w:rsidRPr="00D3251F">
        <w:rPr>
          <w:rFonts w:ascii="Palatino Linotype" w:hAnsi="Palatino Linotype" w:cs="Tahoma"/>
          <w:sz w:val="22"/>
          <w:szCs w:val="22"/>
        </w:rPr>
        <w:t xml:space="preserve"> terminu np. od godziny dokonania</w:t>
      </w:r>
      <w:r w:rsidR="00F37FD1">
        <w:rPr>
          <w:rFonts w:ascii="Palatino Linotype" w:hAnsi="Palatino Linotype" w:cs="Tahoma"/>
          <w:sz w:val="22"/>
          <w:szCs w:val="22"/>
        </w:rPr>
        <w:t xml:space="preserve"> </w:t>
      </w:r>
      <w:r w:rsidRPr="00D3251F">
        <w:rPr>
          <w:rFonts w:ascii="Palatino Linotype" w:hAnsi="Palatino Linotype" w:cs="Tahoma"/>
          <w:sz w:val="22"/>
          <w:szCs w:val="22"/>
        </w:rPr>
        <w:t>zgłoszenia.</w:t>
      </w:r>
      <w:r w:rsidR="00F37FD1">
        <w:rPr>
          <w:rFonts w:ascii="Palatino Linotype" w:hAnsi="Palatino Linotype" w:cs="Tahoma"/>
          <w:sz w:val="22"/>
          <w:szCs w:val="22"/>
        </w:rPr>
        <w:t xml:space="preserve"> </w:t>
      </w:r>
      <w:r w:rsidRPr="00D3251F">
        <w:rPr>
          <w:rFonts w:ascii="Palatino Linotype" w:hAnsi="Palatino Linotype" w:cs="Tahoma"/>
          <w:sz w:val="22"/>
          <w:szCs w:val="22"/>
        </w:rPr>
        <w:t>Jakich czynności wymaga Zamawiający w czasie NBD?</w:t>
      </w:r>
      <w:r w:rsidR="00F37FD1">
        <w:rPr>
          <w:rFonts w:ascii="Palatino Linotype" w:hAnsi="Palatino Linotype" w:cs="Tahoma"/>
          <w:sz w:val="22"/>
          <w:szCs w:val="22"/>
        </w:rPr>
        <w:t xml:space="preserve"> </w:t>
      </w:r>
      <w:r w:rsidRPr="00D3251F">
        <w:rPr>
          <w:rFonts w:ascii="Palatino Linotype" w:hAnsi="Palatino Linotype" w:cs="Tahoma"/>
          <w:sz w:val="22"/>
          <w:szCs w:val="22"/>
        </w:rPr>
        <w:t>W jakich godzinach Zamawiający oczekuje przyjmowania zgłoszeń serwisowych?</w:t>
      </w:r>
      <w:r w:rsidR="00F37FD1">
        <w:rPr>
          <w:rFonts w:ascii="Palatino Linotype" w:hAnsi="Palatino Linotype" w:cs="Tahoma"/>
          <w:sz w:val="22"/>
          <w:szCs w:val="22"/>
        </w:rPr>
        <w:t xml:space="preserve"> </w:t>
      </w:r>
      <w:r w:rsidRPr="00D3251F">
        <w:rPr>
          <w:rFonts w:ascii="Palatino Linotype" w:hAnsi="Palatino Linotype" w:cs="Tahoma"/>
          <w:sz w:val="22"/>
          <w:szCs w:val="22"/>
        </w:rPr>
        <w:t>Czy awaria zgłoszona poza tymi godzinami traktowana będzie jako zgłoszona w następnym</w:t>
      </w:r>
      <w:r w:rsidR="00F37FD1">
        <w:rPr>
          <w:rFonts w:ascii="Palatino Linotype" w:hAnsi="Palatino Linotype" w:cs="Tahoma"/>
          <w:sz w:val="22"/>
          <w:szCs w:val="22"/>
        </w:rPr>
        <w:t xml:space="preserve"> </w:t>
      </w:r>
      <w:r w:rsidRPr="00D3251F">
        <w:rPr>
          <w:rFonts w:ascii="Palatino Linotype" w:hAnsi="Palatino Linotype" w:cs="Tahoma"/>
          <w:sz w:val="22"/>
          <w:szCs w:val="22"/>
        </w:rPr>
        <w:t>dniu roboczym i od tego momentu będzie naliczane SLA?</w:t>
      </w:r>
    </w:p>
    <w:p w14:paraId="42A6E8FC" w14:textId="1844E5B0" w:rsidR="00F37FD1" w:rsidRPr="0003655A" w:rsidRDefault="00F37FD1" w:rsidP="3DFD1CFE">
      <w:pPr>
        <w:pStyle w:val="Akapitzlist"/>
        <w:spacing w:after="60" w:line="276" w:lineRule="auto"/>
        <w:ind w:left="851"/>
        <w:contextualSpacing w:val="0"/>
        <w:jc w:val="both"/>
        <w:rPr>
          <w:rFonts w:ascii="Palatino Linotype" w:hAnsi="Palatino Linotype" w:cs="Tahoma"/>
          <w:b/>
          <w:bCs/>
          <w:sz w:val="22"/>
          <w:szCs w:val="22"/>
        </w:rPr>
      </w:pPr>
      <w:r w:rsidRPr="0003655A">
        <w:rPr>
          <w:rFonts w:ascii="Palatino Linotype" w:hAnsi="Palatino Linotype" w:cs="Tahoma"/>
          <w:b/>
          <w:bCs/>
          <w:sz w:val="22"/>
          <w:szCs w:val="22"/>
        </w:rPr>
        <w:t>Odpowiedź:</w:t>
      </w:r>
    </w:p>
    <w:p w14:paraId="262C581F" w14:textId="491C6B73" w:rsidR="00F37FD1" w:rsidRPr="0003655A" w:rsidRDefault="00F37FD1" w:rsidP="3DFD1CFE">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 xml:space="preserve">Zamawiający pod terminem NBD rozumie jako czas reakcji na zgłoszenie nie dłużej niż w następnym dniu roboczym. </w:t>
      </w:r>
      <w:r w:rsidR="00420DAC" w:rsidRPr="0003655A">
        <w:rPr>
          <w:rFonts w:ascii="Palatino Linotype" w:hAnsi="Palatino Linotype" w:cs="Tahoma"/>
          <w:sz w:val="22"/>
          <w:szCs w:val="22"/>
        </w:rPr>
        <w:t xml:space="preserve">Zamawiający oczekuje przyjmowania zgłoszeń w godzinach </w:t>
      </w:r>
      <w:r w:rsidR="075F5585" w:rsidRPr="3DFD1CFE">
        <w:rPr>
          <w:rFonts w:ascii="Palatino Linotype" w:hAnsi="Palatino Linotype" w:cs="Tahoma"/>
          <w:sz w:val="22"/>
          <w:szCs w:val="22"/>
        </w:rPr>
        <w:t>07:00-18:00</w:t>
      </w:r>
      <w:r w:rsidR="00420DAC" w:rsidRPr="0003655A">
        <w:rPr>
          <w:rFonts w:ascii="Palatino Linotype" w:hAnsi="Palatino Linotype" w:cs="Tahoma"/>
          <w:sz w:val="22"/>
          <w:szCs w:val="22"/>
        </w:rPr>
        <w:t>– jeśli wymagania szczegółowe gwarancyjno-serwisowe dla niektórych rozwiązań nie stanowią inaczej.</w:t>
      </w:r>
    </w:p>
    <w:p w14:paraId="210435AC" w14:textId="0A8EAB9D" w:rsidR="00F37FD1" w:rsidRPr="00D3251F" w:rsidRDefault="00420DAC" w:rsidP="00D3251F">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Dodatkowo Zamawiający wyjaśnia, że awaria zgłoszona poza tymi godzinami traktowana będzie jako zgłoszona w następnym dniu roboczym i od tego momentu będzie naliczane SLA</w:t>
      </w:r>
    </w:p>
    <w:p w14:paraId="182478AB" w14:textId="68CA95EE" w:rsidR="00D3251F" w:rsidRDefault="00D3251F" w:rsidP="00D3251F">
      <w:pPr>
        <w:pStyle w:val="Akapitzlist"/>
        <w:spacing w:after="60" w:line="276" w:lineRule="auto"/>
        <w:ind w:left="851"/>
        <w:jc w:val="both"/>
        <w:rPr>
          <w:rFonts w:ascii="Palatino Linotype" w:hAnsi="Palatino Linotype" w:cs="Tahoma"/>
          <w:sz w:val="22"/>
          <w:szCs w:val="22"/>
        </w:rPr>
      </w:pPr>
    </w:p>
    <w:p w14:paraId="48DF1FCD" w14:textId="77777777" w:rsidR="00420DAC" w:rsidRDefault="00420DAC" w:rsidP="00420DAC">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0A13F384" w14:textId="77777777" w:rsidR="00420DAC" w:rsidRPr="00420DAC" w:rsidRDefault="00420DAC" w:rsidP="00420DAC">
      <w:pPr>
        <w:pStyle w:val="Akapitzlist"/>
        <w:spacing w:after="60" w:line="276" w:lineRule="auto"/>
        <w:ind w:left="851"/>
        <w:jc w:val="both"/>
        <w:rPr>
          <w:rFonts w:ascii="Palatino Linotype" w:hAnsi="Palatino Linotype" w:cs="Tahoma"/>
          <w:sz w:val="22"/>
          <w:szCs w:val="22"/>
        </w:rPr>
      </w:pPr>
      <w:r w:rsidRPr="00420DAC">
        <w:rPr>
          <w:rFonts w:ascii="Palatino Linotype" w:hAnsi="Palatino Linotype" w:cs="Tahoma"/>
          <w:sz w:val="22"/>
          <w:szCs w:val="22"/>
        </w:rPr>
        <w:t xml:space="preserve">Dotyczy Załącznika nr 1 OPZ; rozdz. 12 pkt 3 W ramach gwarancji Wykonawca zapewni następujące usługi: </w:t>
      </w:r>
    </w:p>
    <w:p w14:paraId="3133F06B" w14:textId="5C5BB916" w:rsidR="00420DAC" w:rsidRDefault="00420DAC" w:rsidP="00420DAC">
      <w:pPr>
        <w:pStyle w:val="Akapitzlist"/>
        <w:spacing w:after="60" w:line="276" w:lineRule="auto"/>
        <w:ind w:left="851"/>
        <w:jc w:val="both"/>
        <w:rPr>
          <w:rFonts w:ascii="Palatino Linotype" w:hAnsi="Palatino Linotype" w:cs="Tahoma"/>
          <w:sz w:val="22"/>
          <w:szCs w:val="22"/>
        </w:rPr>
      </w:pPr>
      <w:r w:rsidRPr="00420DAC">
        <w:rPr>
          <w:rFonts w:ascii="Palatino Linotype" w:hAnsi="Palatino Linotype" w:cs="Tahoma"/>
          <w:sz w:val="22"/>
          <w:szCs w:val="22"/>
        </w:rPr>
        <w:t xml:space="preserve">• zdalne wsparcie techniczne Wykonawcy i producenta </w:t>
      </w:r>
      <w:r w:rsidR="00D3251F" w:rsidRPr="00D3251F">
        <w:rPr>
          <w:rFonts w:ascii="Palatino Linotype" w:hAnsi="Palatino Linotype" w:cs="Tahoma"/>
          <w:sz w:val="22"/>
          <w:szCs w:val="22"/>
        </w:rPr>
        <w:t>wsparcie w miejscu instalacji</w:t>
      </w:r>
      <w:r>
        <w:rPr>
          <w:rFonts w:ascii="Palatino Linotype" w:hAnsi="Palatino Linotype" w:cs="Tahoma"/>
          <w:sz w:val="22"/>
          <w:szCs w:val="22"/>
        </w:rPr>
        <w:t xml:space="preserve"> </w:t>
      </w:r>
    </w:p>
    <w:p w14:paraId="7C24996D" w14:textId="77777777" w:rsidR="00420DAC" w:rsidRDefault="00D3251F" w:rsidP="00420DAC">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 części zamienne oraz ich instalację,</w:t>
      </w:r>
    </w:p>
    <w:p w14:paraId="0EC775B8" w14:textId="0E53A182" w:rsidR="00420DAC" w:rsidRDefault="00D3251F" w:rsidP="00420DAC">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 xml:space="preserve">• uaktualnienia oraz instalację oprogramowania </w:t>
      </w:r>
      <w:proofErr w:type="spellStart"/>
      <w:r w:rsidRPr="00D3251F">
        <w:rPr>
          <w:rFonts w:ascii="Palatino Linotype" w:hAnsi="Palatino Linotype" w:cs="Tahoma"/>
          <w:sz w:val="22"/>
          <w:szCs w:val="22"/>
        </w:rPr>
        <w:t>firmware</w:t>
      </w:r>
      <w:proofErr w:type="spellEnd"/>
      <w:r w:rsidRPr="00D3251F">
        <w:rPr>
          <w:rFonts w:ascii="Palatino Linotype" w:hAnsi="Palatino Linotype" w:cs="Tahoma"/>
          <w:sz w:val="22"/>
          <w:szCs w:val="22"/>
        </w:rPr>
        <w:t>, jeżeli takie uaktualnienia są</w:t>
      </w:r>
      <w:r w:rsidR="00420DAC">
        <w:rPr>
          <w:rFonts w:ascii="Palatino Linotype" w:hAnsi="Palatino Linotype" w:cs="Tahoma"/>
          <w:sz w:val="22"/>
          <w:szCs w:val="22"/>
        </w:rPr>
        <w:t xml:space="preserve"> </w:t>
      </w:r>
      <w:r w:rsidRPr="00D3251F">
        <w:rPr>
          <w:rFonts w:ascii="Palatino Linotype" w:hAnsi="Palatino Linotype" w:cs="Tahoma"/>
          <w:sz w:val="22"/>
          <w:szCs w:val="22"/>
        </w:rPr>
        <w:t>rekomendowane przez Producenta”</w:t>
      </w:r>
      <w:r w:rsidR="00420DAC">
        <w:rPr>
          <w:rFonts w:ascii="Palatino Linotype" w:hAnsi="Palatino Linotype" w:cs="Tahoma"/>
          <w:sz w:val="22"/>
          <w:szCs w:val="22"/>
        </w:rPr>
        <w:t xml:space="preserve"> </w:t>
      </w:r>
    </w:p>
    <w:p w14:paraId="4FACD35D" w14:textId="1A1E12E4" w:rsidR="00F37FD1" w:rsidRPr="00420DAC" w:rsidRDefault="00D3251F" w:rsidP="00420DAC">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Jak często Zamawiający wymaga przeprowadzania uaktualnień oprogramowania?</w:t>
      </w:r>
      <w:r w:rsidR="00420DAC">
        <w:rPr>
          <w:rFonts w:ascii="Palatino Linotype" w:hAnsi="Palatino Linotype" w:cs="Tahoma"/>
          <w:sz w:val="22"/>
          <w:szCs w:val="22"/>
        </w:rPr>
        <w:t xml:space="preserve"> </w:t>
      </w:r>
      <w:r w:rsidRPr="00D3251F">
        <w:rPr>
          <w:rFonts w:ascii="Palatino Linotype" w:hAnsi="Palatino Linotype" w:cs="Tahoma"/>
          <w:sz w:val="22"/>
          <w:szCs w:val="22"/>
        </w:rPr>
        <w:t xml:space="preserve">Czy prace związane z uaktualnieniami </w:t>
      </w:r>
      <w:proofErr w:type="spellStart"/>
      <w:r w:rsidRPr="00D3251F">
        <w:rPr>
          <w:rFonts w:ascii="Palatino Linotype" w:hAnsi="Palatino Linotype" w:cs="Tahoma"/>
          <w:sz w:val="22"/>
          <w:szCs w:val="22"/>
        </w:rPr>
        <w:t>firmware</w:t>
      </w:r>
      <w:proofErr w:type="spellEnd"/>
      <w:r w:rsidRPr="00D3251F">
        <w:rPr>
          <w:rFonts w:ascii="Palatino Linotype" w:hAnsi="Palatino Linotype" w:cs="Tahoma"/>
          <w:sz w:val="22"/>
          <w:szCs w:val="22"/>
        </w:rPr>
        <w:t xml:space="preserve"> można przeprowadzić zdalnie?</w:t>
      </w:r>
      <w:r w:rsidR="00F37FD1" w:rsidRPr="00420DAC">
        <w:rPr>
          <w:rFonts w:ascii="Palatino Linotype" w:hAnsi="Palatino Linotype" w:cs="Tahoma"/>
          <w:sz w:val="22"/>
          <w:szCs w:val="22"/>
        </w:rPr>
        <w:t xml:space="preserve"> </w:t>
      </w:r>
    </w:p>
    <w:p w14:paraId="36B7D33D" w14:textId="52ACF12B" w:rsidR="00F37FD1" w:rsidRDefault="00F37FD1" w:rsidP="00F37FD1">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15CC4E05" w14:textId="5A3B4A3D" w:rsidR="00D3251F" w:rsidRDefault="00420DAC" w:rsidP="00D3251F">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 xml:space="preserve">Zamawiający może wymagać przeprowadzenia uaktualnień oprogramowania zgodnie z zaleceniami producentów. Prace związane z uaktualnieniami </w:t>
      </w:r>
      <w:proofErr w:type="spellStart"/>
      <w:r w:rsidRPr="0003655A">
        <w:rPr>
          <w:rFonts w:ascii="Palatino Linotype" w:hAnsi="Palatino Linotype" w:cs="Tahoma"/>
          <w:sz w:val="22"/>
          <w:szCs w:val="22"/>
        </w:rPr>
        <w:t>firmware</w:t>
      </w:r>
      <w:proofErr w:type="spellEnd"/>
      <w:r w:rsidRPr="0003655A">
        <w:rPr>
          <w:rFonts w:ascii="Palatino Linotype" w:hAnsi="Palatino Linotype" w:cs="Tahoma"/>
          <w:sz w:val="22"/>
          <w:szCs w:val="22"/>
        </w:rPr>
        <w:t xml:space="preserve"> można przeprowadzać zdalnie</w:t>
      </w:r>
      <w:r w:rsidR="7712BBD6" w:rsidRPr="3DFD1CFE">
        <w:rPr>
          <w:rFonts w:ascii="Palatino Linotype" w:hAnsi="Palatino Linotype" w:cs="Tahoma"/>
          <w:sz w:val="22"/>
          <w:szCs w:val="22"/>
        </w:rPr>
        <w:t>.</w:t>
      </w:r>
    </w:p>
    <w:p w14:paraId="1AC210CB" w14:textId="77777777" w:rsidR="00420DAC" w:rsidRPr="00D3251F" w:rsidRDefault="00420DAC" w:rsidP="00D3251F">
      <w:pPr>
        <w:pStyle w:val="Akapitzlist"/>
        <w:spacing w:after="60" w:line="276" w:lineRule="auto"/>
        <w:ind w:left="851"/>
        <w:jc w:val="both"/>
        <w:rPr>
          <w:rFonts w:ascii="Palatino Linotype" w:hAnsi="Palatino Linotype" w:cs="Tahoma"/>
          <w:sz w:val="22"/>
          <w:szCs w:val="22"/>
        </w:rPr>
      </w:pPr>
    </w:p>
    <w:p w14:paraId="1106CCB2" w14:textId="77777777" w:rsidR="00D3251F" w:rsidRDefault="00D3251F" w:rsidP="00D3251F">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4267869F" w14:textId="4FBC04BE" w:rsidR="00D3251F" w:rsidRPr="00D3251F"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lastRenderedPageBreak/>
        <w:t>Tabela pozycja 13 Gwarancja pkt 4</w:t>
      </w:r>
      <w:r w:rsidR="00420DAC">
        <w:rPr>
          <w:rFonts w:ascii="Palatino Linotype" w:hAnsi="Palatino Linotype" w:cs="Tahoma"/>
          <w:sz w:val="22"/>
          <w:szCs w:val="22"/>
        </w:rPr>
        <w:t xml:space="preserve"> </w:t>
      </w:r>
      <w:r w:rsidRPr="00D3251F">
        <w:rPr>
          <w:rFonts w:ascii="Palatino Linotype" w:hAnsi="Palatino Linotype" w:cs="Tahoma"/>
          <w:sz w:val="22"/>
          <w:szCs w:val="22"/>
        </w:rPr>
        <w:t>„4. Wymagana jest bezpłatna dostępność poprawek i aktualizacji</w:t>
      </w:r>
      <w:r w:rsidR="00420DAC">
        <w:rPr>
          <w:rFonts w:ascii="Palatino Linotype" w:hAnsi="Palatino Linotype" w:cs="Tahoma"/>
          <w:sz w:val="22"/>
          <w:szCs w:val="22"/>
        </w:rPr>
        <w:t xml:space="preserve"> </w:t>
      </w:r>
      <w:r w:rsidRPr="00D3251F">
        <w:rPr>
          <w:rFonts w:ascii="Palatino Linotype" w:hAnsi="Palatino Linotype" w:cs="Tahoma"/>
          <w:sz w:val="22"/>
          <w:szCs w:val="22"/>
        </w:rPr>
        <w:t>BIOS/</w:t>
      </w:r>
      <w:proofErr w:type="spellStart"/>
      <w:r w:rsidRPr="00D3251F">
        <w:rPr>
          <w:rFonts w:ascii="Palatino Linotype" w:hAnsi="Palatino Linotype" w:cs="Tahoma"/>
          <w:sz w:val="22"/>
          <w:szCs w:val="22"/>
        </w:rPr>
        <w:t>Firmware</w:t>
      </w:r>
      <w:proofErr w:type="spellEnd"/>
      <w:r w:rsidRPr="00D3251F">
        <w:rPr>
          <w:rFonts w:ascii="Palatino Linotype" w:hAnsi="Palatino Linotype" w:cs="Tahoma"/>
          <w:sz w:val="22"/>
          <w:szCs w:val="22"/>
        </w:rPr>
        <w:t>/sterowników dożywotnio dla oferowanego serwera – jeżeli funkcjonalność ta</w:t>
      </w:r>
      <w:r w:rsidR="00420DAC">
        <w:rPr>
          <w:rFonts w:ascii="Palatino Linotype" w:hAnsi="Palatino Linotype" w:cs="Tahoma"/>
          <w:sz w:val="22"/>
          <w:szCs w:val="22"/>
        </w:rPr>
        <w:t xml:space="preserve"> </w:t>
      </w:r>
      <w:r w:rsidRPr="00D3251F">
        <w:rPr>
          <w:rFonts w:ascii="Palatino Linotype" w:hAnsi="Palatino Linotype" w:cs="Tahoma"/>
          <w:sz w:val="22"/>
          <w:szCs w:val="22"/>
        </w:rPr>
        <w:t>wymaga dodatkowego serwisu lub licencji producenta serwera takowa licencja musi być</w:t>
      </w:r>
      <w:r w:rsidR="00420DAC">
        <w:rPr>
          <w:rFonts w:ascii="Palatino Linotype" w:hAnsi="Palatino Linotype" w:cs="Tahoma"/>
          <w:sz w:val="22"/>
          <w:szCs w:val="22"/>
        </w:rPr>
        <w:t xml:space="preserve"> </w:t>
      </w:r>
      <w:r w:rsidRPr="00D3251F">
        <w:rPr>
          <w:rFonts w:ascii="Palatino Linotype" w:hAnsi="Palatino Linotype" w:cs="Tahoma"/>
          <w:sz w:val="22"/>
          <w:szCs w:val="22"/>
        </w:rPr>
        <w:t>uwzględniona w konfiguracji.”</w:t>
      </w:r>
      <w:r w:rsidR="00420DAC">
        <w:rPr>
          <w:rFonts w:ascii="Palatino Linotype" w:hAnsi="Palatino Linotype" w:cs="Tahoma"/>
          <w:sz w:val="22"/>
          <w:szCs w:val="22"/>
        </w:rPr>
        <w:t xml:space="preserve"> </w:t>
      </w:r>
      <w:r w:rsidRPr="00D3251F">
        <w:rPr>
          <w:rFonts w:ascii="Palatino Linotype" w:hAnsi="Palatino Linotype" w:cs="Tahoma"/>
          <w:sz w:val="22"/>
          <w:szCs w:val="22"/>
        </w:rPr>
        <w:t>Prosimy o modyfikację ww. zapisu poprzez zastąpienie określenia „dożywotnio”</w:t>
      </w:r>
      <w:r w:rsidR="00420DAC">
        <w:rPr>
          <w:rFonts w:ascii="Palatino Linotype" w:hAnsi="Palatino Linotype" w:cs="Tahoma"/>
          <w:sz w:val="22"/>
          <w:szCs w:val="22"/>
        </w:rPr>
        <w:t xml:space="preserve"> </w:t>
      </w:r>
      <w:r w:rsidRPr="00D3251F">
        <w:rPr>
          <w:rFonts w:ascii="Palatino Linotype" w:hAnsi="Palatino Linotype" w:cs="Tahoma"/>
          <w:sz w:val="22"/>
          <w:szCs w:val="22"/>
        </w:rPr>
        <w:t>sformułowaniem „w okresie świadczenia usługi gwarancji”. Producenci urządzeń prowadzą</w:t>
      </w:r>
      <w:r w:rsidR="00420DAC">
        <w:rPr>
          <w:rFonts w:ascii="Palatino Linotype" w:hAnsi="Palatino Linotype" w:cs="Tahoma"/>
          <w:sz w:val="22"/>
          <w:szCs w:val="22"/>
        </w:rPr>
        <w:t xml:space="preserve"> </w:t>
      </w:r>
      <w:r w:rsidRPr="00D3251F">
        <w:rPr>
          <w:rFonts w:ascii="Palatino Linotype" w:hAnsi="Palatino Linotype" w:cs="Tahoma"/>
          <w:sz w:val="22"/>
          <w:szCs w:val="22"/>
        </w:rPr>
        <w:t>różną politykę w zakresie ochrony własności intelektualnej. Nawet jeśli w chwili podpisania</w:t>
      </w:r>
      <w:r w:rsidR="00420DAC">
        <w:rPr>
          <w:rFonts w:ascii="Palatino Linotype" w:hAnsi="Palatino Linotype" w:cs="Tahoma"/>
          <w:sz w:val="22"/>
          <w:szCs w:val="22"/>
        </w:rPr>
        <w:t xml:space="preserve"> </w:t>
      </w:r>
      <w:r w:rsidRPr="00D3251F">
        <w:rPr>
          <w:rFonts w:ascii="Palatino Linotype" w:hAnsi="Palatino Linotype" w:cs="Tahoma"/>
          <w:sz w:val="22"/>
          <w:szCs w:val="22"/>
        </w:rPr>
        <w:t>Umowy wymagane poprawki i aktualizacje będą dostępne bezpłatnie Wykonawca nie ma</w:t>
      </w:r>
      <w:r w:rsidR="00420DAC">
        <w:rPr>
          <w:rFonts w:ascii="Palatino Linotype" w:hAnsi="Palatino Linotype" w:cs="Tahoma"/>
          <w:sz w:val="22"/>
          <w:szCs w:val="22"/>
        </w:rPr>
        <w:t xml:space="preserve"> </w:t>
      </w:r>
      <w:r w:rsidRPr="00D3251F">
        <w:rPr>
          <w:rFonts w:ascii="Palatino Linotype" w:hAnsi="Palatino Linotype" w:cs="Tahoma"/>
          <w:sz w:val="22"/>
          <w:szCs w:val="22"/>
        </w:rPr>
        <w:t>żadnego wpływu na kształtowanie przez Producenta zasad dostępu do oprogramowania</w:t>
      </w:r>
      <w:r w:rsidR="00420DAC">
        <w:rPr>
          <w:rFonts w:ascii="Palatino Linotype" w:hAnsi="Palatino Linotype" w:cs="Tahoma"/>
          <w:sz w:val="22"/>
          <w:szCs w:val="22"/>
        </w:rPr>
        <w:t xml:space="preserve"> </w:t>
      </w:r>
      <w:r w:rsidRPr="00D3251F">
        <w:rPr>
          <w:rFonts w:ascii="Palatino Linotype" w:hAnsi="Palatino Linotype" w:cs="Tahoma"/>
          <w:sz w:val="22"/>
          <w:szCs w:val="22"/>
        </w:rPr>
        <w:t>w przyszłości.</w:t>
      </w:r>
    </w:p>
    <w:p w14:paraId="5AA807DD" w14:textId="77777777" w:rsidR="00420DAC" w:rsidRDefault="00420DAC" w:rsidP="00420DAC">
      <w:pPr>
        <w:pStyle w:val="Akapitzlist"/>
        <w:spacing w:after="60" w:line="276" w:lineRule="auto"/>
        <w:ind w:left="1134"/>
        <w:contextualSpacing w:val="0"/>
        <w:jc w:val="both"/>
        <w:rPr>
          <w:rFonts w:ascii="Palatino Linotype" w:hAnsi="Palatino Linotype" w:cs="Tahoma"/>
          <w:b/>
          <w:bCs/>
          <w:sz w:val="22"/>
          <w:szCs w:val="22"/>
        </w:rPr>
      </w:pPr>
    </w:p>
    <w:p w14:paraId="7BB1C455" w14:textId="6DC5DC79" w:rsidR="00420DAC" w:rsidRDefault="00420DAC" w:rsidP="00420DAC">
      <w:pPr>
        <w:pStyle w:val="Akapitzlist"/>
        <w:numPr>
          <w:ilvl w:val="1"/>
          <w:numId w:val="35"/>
        </w:numPr>
        <w:spacing w:after="60" w:line="276" w:lineRule="auto"/>
        <w:ind w:left="1134" w:hanging="284"/>
        <w:contextualSpacing w:val="0"/>
        <w:jc w:val="both"/>
        <w:rPr>
          <w:rFonts w:ascii="Palatino Linotype" w:hAnsi="Palatino Linotype" w:cs="Tahoma"/>
          <w:b/>
          <w:bCs/>
          <w:sz w:val="22"/>
          <w:szCs w:val="22"/>
        </w:rPr>
      </w:pPr>
      <w:r w:rsidRPr="006B1469">
        <w:rPr>
          <w:rFonts w:ascii="Palatino Linotype" w:hAnsi="Palatino Linotype" w:cs="Tahoma"/>
          <w:b/>
          <w:bCs/>
          <w:sz w:val="22"/>
          <w:szCs w:val="22"/>
        </w:rPr>
        <w:t>Pytanie:</w:t>
      </w:r>
    </w:p>
    <w:p w14:paraId="33B33276" w14:textId="7B0ED219" w:rsidR="00D3251F" w:rsidRDefault="00D3251F" w:rsidP="00D3251F">
      <w:pPr>
        <w:pStyle w:val="Akapitzlist"/>
        <w:spacing w:after="60" w:line="276" w:lineRule="auto"/>
        <w:ind w:left="851"/>
        <w:jc w:val="both"/>
        <w:rPr>
          <w:rFonts w:ascii="Palatino Linotype" w:hAnsi="Palatino Linotype" w:cs="Tahoma"/>
          <w:sz w:val="22"/>
          <w:szCs w:val="22"/>
        </w:rPr>
      </w:pPr>
      <w:r w:rsidRPr="00D3251F">
        <w:rPr>
          <w:rFonts w:ascii="Palatino Linotype" w:hAnsi="Palatino Linotype" w:cs="Tahoma"/>
          <w:sz w:val="22"/>
          <w:szCs w:val="22"/>
        </w:rPr>
        <w:t>Jak będzie liczony okres gwarancyjny dla dysków dostarczanych w ramach prawa opcji?</w:t>
      </w:r>
    </w:p>
    <w:p w14:paraId="7EA6581D" w14:textId="77777777" w:rsidR="00F37FD1" w:rsidRDefault="00F37FD1" w:rsidP="00F37FD1">
      <w:pPr>
        <w:pStyle w:val="Akapitzlist"/>
        <w:spacing w:after="60" w:line="276" w:lineRule="auto"/>
        <w:ind w:left="851"/>
        <w:contextualSpacing w:val="0"/>
        <w:jc w:val="both"/>
        <w:rPr>
          <w:rFonts w:ascii="Palatino Linotype" w:hAnsi="Palatino Linotype" w:cs="Tahoma"/>
          <w:b/>
          <w:bCs/>
          <w:sz w:val="22"/>
          <w:szCs w:val="22"/>
        </w:rPr>
      </w:pPr>
      <w:r w:rsidRPr="00FC69FE">
        <w:rPr>
          <w:rFonts w:ascii="Palatino Linotype" w:hAnsi="Palatino Linotype" w:cs="Tahoma"/>
          <w:b/>
          <w:bCs/>
          <w:sz w:val="22"/>
          <w:szCs w:val="22"/>
        </w:rPr>
        <w:t>Odpowiedź:</w:t>
      </w:r>
    </w:p>
    <w:p w14:paraId="03AF7EF6" w14:textId="3D751A78" w:rsidR="00F37FD1" w:rsidRPr="00D3251F" w:rsidRDefault="00420DAC" w:rsidP="00D3251F">
      <w:pPr>
        <w:pStyle w:val="Akapitzlist"/>
        <w:spacing w:after="60" w:line="276" w:lineRule="auto"/>
        <w:ind w:left="851"/>
        <w:jc w:val="both"/>
        <w:rPr>
          <w:rFonts w:ascii="Palatino Linotype" w:hAnsi="Palatino Linotype" w:cs="Tahoma"/>
          <w:sz w:val="22"/>
          <w:szCs w:val="22"/>
        </w:rPr>
      </w:pPr>
      <w:r w:rsidRPr="0003655A">
        <w:rPr>
          <w:rFonts w:ascii="Palatino Linotype" w:hAnsi="Palatino Linotype" w:cs="Tahoma"/>
          <w:sz w:val="22"/>
          <w:szCs w:val="22"/>
        </w:rPr>
        <w:t>Okres gwarancji będzie liczony zgodnie z okresem gwarancji dostarczonego systemu macierzy dyskowych.</w:t>
      </w:r>
      <w:r w:rsidRPr="3DFD1CFE">
        <w:rPr>
          <w:rFonts w:ascii="Palatino Linotype" w:hAnsi="Palatino Linotype" w:cs="Tahoma"/>
          <w:sz w:val="22"/>
          <w:szCs w:val="22"/>
        </w:rPr>
        <w:t xml:space="preserve"> </w:t>
      </w:r>
    </w:p>
    <w:sectPr w:rsidR="00F37FD1" w:rsidRPr="00D3251F" w:rsidSect="00173242">
      <w:footerReference w:type="default" r:id="rId18"/>
      <w:headerReference w:type="first" r:id="rId19"/>
      <w:footerReference w:type="first" r:id="rId20"/>
      <w:pgSz w:w="11906" w:h="16838" w:code="9"/>
      <w:pgMar w:top="1418"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73EA" w14:textId="77777777" w:rsidR="00EC72E8" w:rsidRDefault="00EC72E8">
      <w:r>
        <w:separator/>
      </w:r>
    </w:p>
  </w:endnote>
  <w:endnote w:type="continuationSeparator" w:id="0">
    <w:p w14:paraId="4E456D89" w14:textId="77777777" w:rsidR="00EC72E8" w:rsidRDefault="00EC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Segoe UI">
    <w:altName w:val="Calibri"/>
    <w:panose1 w:val="020B0502040204020203"/>
    <w:charset w:val="EE"/>
    <w:family w:val="swiss"/>
    <w:pitch w:val="variable"/>
    <w:sig w:usb0="E4002EFF" w:usb1="C000E47F" w:usb2="00000009" w:usb3="00000000" w:csb0="000001FF" w:csb1="00000000"/>
  </w:font>
  <w:font w:name="SegoeUI-Light">
    <w:altName w:val="Arial"/>
    <w:panose1 w:val="00000000000000000000"/>
    <w:charset w:val="00"/>
    <w:family w:val="roman"/>
    <w:notTrueType/>
    <w:pitch w:val="default"/>
  </w:font>
  <w:font w:name="Raleway-Regular">
    <w:altName w:val="Trebuchet MS"/>
    <w:panose1 w:val="00000000000000000000"/>
    <w:charset w:val="00"/>
    <w:family w:val="roman"/>
    <w:notTrueType/>
    <w:pitch w:val="default"/>
  </w:font>
  <w:font w:name="Raleway-Italic">
    <w:altName w:val="Trebuchet MS"/>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7B35" w14:textId="14130F96" w:rsidR="007B3E85" w:rsidRPr="00680A74" w:rsidRDefault="007B3E85" w:rsidP="00A6678D">
    <w:pPr>
      <w:pStyle w:val="Stopka"/>
      <w:jc w:val="center"/>
      <w:rPr>
        <w:rFonts w:ascii="Palatino Linotype" w:hAnsi="Palatino Linotype"/>
      </w:rPr>
    </w:pPr>
    <w:r w:rsidRPr="00680A74">
      <w:rPr>
        <w:rFonts w:ascii="Palatino Linotype" w:hAnsi="Palatino Linotype"/>
      </w:rPr>
      <w:t xml:space="preserve">- </w:t>
    </w:r>
    <w:r w:rsidRPr="00680A74">
      <w:rPr>
        <w:rStyle w:val="Numerstrony"/>
        <w:rFonts w:ascii="Palatino Linotype" w:hAnsi="Palatino Linotype"/>
      </w:rPr>
      <w:fldChar w:fldCharType="begin"/>
    </w:r>
    <w:r w:rsidRPr="00680A74">
      <w:rPr>
        <w:rStyle w:val="Numerstrony"/>
        <w:rFonts w:ascii="Palatino Linotype" w:hAnsi="Palatino Linotype"/>
      </w:rPr>
      <w:instrText xml:space="preserve"> PAGE </w:instrText>
    </w:r>
    <w:r w:rsidRPr="00680A74">
      <w:rPr>
        <w:rStyle w:val="Numerstrony"/>
        <w:rFonts w:ascii="Palatino Linotype" w:hAnsi="Palatino Linotype"/>
      </w:rPr>
      <w:fldChar w:fldCharType="separate"/>
    </w:r>
    <w:r>
      <w:rPr>
        <w:rStyle w:val="Numerstrony"/>
        <w:rFonts w:ascii="Palatino Linotype" w:hAnsi="Palatino Linotype"/>
        <w:noProof/>
      </w:rPr>
      <w:t>5</w:t>
    </w:r>
    <w:r w:rsidRPr="00680A74">
      <w:rPr>
        <w:rStyle w:val="Numerstrony"/>
        <w:rFonts w:ascii="Palatino Linotype" w:hAnsi="Palatino Linotype"/>
      </w:rPr>
      <w:fldChar w:fldCharType="end"/>
    </w:r>
    <w:r w:rsidRPr="00680A74">
      <w:rPr>
        <w:rStyle w:val="Numerstrony"/>
        <w:rFonts w:ascii="Palatino Linotype" w:hAnsi="Palatino Linotyp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0509" w14:textId="77777777" w:rsidR="007B3E85" w:rsidRDefault="007B3E85" w:rsidP="003F0DCF">
    <w:pPr>
      <w:pStyle w:val="Stopka"/>
      <w:jc w:val="center"/>
      <w:rPr>
        <w:rFonts w:ascii="Palatino Linotype" w:hAnsi="Palatino Linotype"/>
      </w:rPr>
    </w:pPr>
    <w:r>
      <w:rPr>
        <w:noProof/>
      </w:rPr>
      <w:drawing>
        <wp:inline distT="0" distB="0" distL="0" distR="0" wp14:anchorId="34A4131C" wp14:editId="2492E752">
          <wp:extent cx="1501140" cy="750570"/>
          <wp:effectExtent l="0" t="0" r="3810" b="0"/>
          <wp:docPr id="10" name="Obraz 10" descr="logo-AP-PL-pozio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1">
                    <a:extLst>
                      <a:ext uri="{28A0092B-C50C-407E-A947-70E740481C1C}">
                        <a14:useLocalDpi xmlns:a14="http://schemas.microsoft.com/office/drawing/2010/main" val="0"/>
                      </a:ext>
                    </a:extLst>
                  </a:blip>
                  <a:stretch>
                    <a:fillRect/>
                  </a:stretch>
                </pic:blipFill>
                <pic:spPr>
                  <a:xfrm>
                    <a:off x="0" y="0"/>
                    <a:ext cx="1501140" cy="750570"/>
                  </a:xfrm>
                  <a:prstGeom prst="rect">
                    <a:avLst/>
                  </a:prstGeom>
                </pic:spPr>
              </pic:pic>
            </a:graphicData>
          </a:graphic>
        </wp:inline>
      </w:drawing>
    </w:r>
    <w:r>
      <w:tab/>
    </w:r>
    <w:r>
      <w:rPr>
        <w:noProof/>
      </w:rPr>
      <w:drawing>
        <wp:inline distT="0" distB="0" distL="0" distR="0" wp14:anchorId="189EF145" wp14:editId="13A87E87">
          <wp:extent cx="1578610" cy="758825"/>
          <wp:effectExtent l="0" t="0" r="0" b="0"/>
          <wp:docPr id="11" name="Obraz 11" descr="89927752_313524492939473_3142327824715612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2">
                    <a:extLst>
                      <a:ext uri="{28A0092B-C50C-407E-A947-70E740481C1C}">
                        <a14:useLocalDpi xmlns:a14="http://schemas.microsoft.com/office/drawing/2010/main" val="0"/>
                      </a:ext>
                    </a:extLst>
                  </a:blip>
                  <a:stretch>
                    <a:fillRect/>
                  </a:stretch>
                </pic:blipFill>
                <pic:spPr>
                  <a:xfrm>
                    <a:off x="0" y="0"/>
                    <a:ext cx="1578610" cy="758825"/>
                  </a:xfrm>
                  <a:prstGeom prst="rect">
                    <a:avLst/>
                  </a:prstGeom>
                </pic:spPr>
              </pic:pic>
            </a:graphicData>
          </a:graphic>
        </wp:inline>
      </w:drawing>
    </w:r>
  </w:p>
  <w:p w14:paraId="24B21772" w14:textId="77777777" w:rsidR="007B3E85" w:rsidRDefault="007B3E85" w:rsidP="003F0DCF">
    <w:pPr>
      <w:pStyle w:val="Stopka"/>
      <w:jc w:val="center"/>
      <w:rPr>
        <w:rFonts w:ascii="Palatino Linotype" w:hAnsi="Palatino Linotype"/>
        <w:sz w:val="18"/>
        <w:szCs w:val="18"/>
      </w:rPr>
    </w:pPr>
    <w:r>
      <w:rPr>
        <w:rFonts w:ascii="Palatino Linotype" w:hAnsi="Palatino Linotype"/>
        <w:sz w:val="18"/>
        <w:szCs w:val="18"/>
      </w:rPr>
      <w:t>ul. Sienna 16, 30-960 Kraków; tel.: 12 422-40-94, fax: 12 421-35-44</w:t>
    </w:r>
  </w:p>
  <w:p w14:paraId="5F3A2D7B" w14:textId="77777777" w:rsidR="007B3E85" w:rsidRDefault="007B3E85" w:rsidP="003F0DCF">
    <w:pPr>
      <w:pStyle w:val="Stopka"/>
      <w:jc w:val="center"/>
    </w:pPr>
    <w:r>
      <w:rPr>
        <w:rFonts w:ascii="Palatino Linotype" w:hAnsi="Palatino Linotype"/>
        <w:sz w:val="18"/>
        <w:szCs w:val="18"/>
      </w:rPr>
      <w:t>sekretariat@ank.gov.pl, www.ank.gov.pl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A7D72" w14:textId="77777777" w:rsidR="00EC72E8" w:rsidRDefault="00EC72E8">
      <w:r>
        <w:separator/>
      </w:r>
    </w:p>
  </w:footnote>
  <w:footnote w:type="continuationSeparator" w:id="0">
    <w:p w14:paraId="70848A46" w14:textId="77777777" w:rsidR="00EC72E8" w:rsidRDefault="00EC7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CF21" w14:textId="77777777" w:rsidR="007B3E85" w:rsidRDefault="007B3E85" w:rsidP="00EF664C">
    <w:pPr>
      <w:pStyle w:val="Nagwek"/>
      <w:tabs>
        <w:tab w:val="clear" w:pos="4536"/>
        <w:tab w:val="clear" w:pos="9072"/>
        <w:tab w:val="left" w:pos="4320"/>
      </w:tabs>
    </w:pPr>
    <w:r>
      <w:rPr>
        <w:noProof/>
      </w:rPr>
      <w:drawing>
        <wp:inline distT="0" distB="0" distL="0" distR="0" wp14:anchorId="096E2903" wp14:editId="51B54974">
          <wp:extent cx="1980000" cy="586800"/>
          <wp:effectExtent l="0" t="0" r="127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
                    <a:extLst>
                      <a:ext uri="{28A0092B-C50C-407E-A947-70E740481C1C}">
                        <a14:useLocalDpi xmlns:a14="http://schemas.microsoft.com/office/drawing/2010/main" val="0"/>
                      </a:ext>
                    </a:extLst>
                  </a:blip>
                  <a:stretch>
                    <a:fillRect/>
                  </a:stretch>
                </pic:blipFill>
                <pic:spPr>
                  <a:xfrm>
                    <a:off x="0" y="0"/>
                    <a:ext cx="1980000" cy="58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00000013"/>
    <w:name w:val="WW8Num19"/>
    <w:lvl w:ilvl="0">
      <w:start w:val="1"/>
      <w:numFmt w:val="decimal"/>
      <w:lvlText w:val="%1."/>
      <w:lvlJc w:val="left"/>
      <w:pPr>
        <w:tabs>
          <w:tab w:val="num" w:pos="0"/>
        </w:tabs>
        <w:ind w:left="1070" w:hanging="710"/>
      </w:pPr>
      <w:rPr>
        <w:rFonts w:hint="default"/>
        <w:sz w:val="20"/>
        <w:szCs w:val="20"/>
      </w:rPr>
    </w:lvl>
    <w:lvl w:ilvl="1">
      <w:start w:val="1"/>
      <w:numFmt w:val="decimal"/>
      <w:lvlText w:val="%2)"/>
      <w:lvlJc w:val="left"/>
      <w:pPr>
        <w:tabs>
          <w:tab w:val="num" w:pos="0"/>
        </w:tabs>
        <w:ind w:left="1790" w:hanging="710"/>
      </w:pPr>
      <w:rPr>
        <w:rFonts w:hint="default"/>
        <w:sz w:val="20"/>
        <w:szCs w:val="20"/>
      </w:rPr>
    </w:lvl>
    <w:lvl w:ilvl="2">
      <w:start w:val="1"/>
      <w:numFmt w:val="decimal"/>
      <w:lvlText w:val="%3)"/>
      <w:lvlJc w:val="left"/>
      <w:pPr>
        <w:tabs>
          <w:tab w:val="num" w:pos="0"/>
        </w:tabs>
        <w:ind w:left="2690" w:hanging="710"/>
      </w:pPr>
      <w:rPr>
        <w:rFonts w:hint="default"/>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23"/>
    <w:multiLevelType w:val="multilevel"/>
    <w:tmpl w:val="00000023"/>
    <w:name w:val="WW8Num35"/>
    <w:lvl w:ilvl="0">
      <w:start w:val="1"/>
      <w:numFmt w:val="decimal"/>
      <w:lvlText w:val="%1."/>
      <w:lvlJc w:val="left"/>
      <w:pPr>
        <w:tabs>
          <w:tab w:val="num" w:pos="-218"/>
        </w:tabs>
        <w:ind w:left="852" w:hanging="710"/>
      </w:pPr>
      <w:rPr>
        <w:sz w:val="20"/>
        <w:szCs w:val="20"/>
      </w:rPr>
    </w:lvl>
    <w:lvl w:ilvl="1">
      <w:start w:val="1"/>
      <w:numFmt w:val="decimal"/>
      <w:lvlText w:val="%2)"/>
      <w:lvlJc w:val="left"/>
      <w:pPr>
        <w:tabs>
          <w:tab w:val="num" w:pos="0"/>
        </w:tabs>
        <w:ind w:left="1790" w:hanging="710"/>
      </w:pPr>
      <w:rPr>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24"/>
    <w:multiLevelType w:val="multilevel"/>
    <w:tmpl w:val="22EE8BFC"/>
    <w:name w:val="WW8Num36"/>
    <w:lvl w:ilvl="0">
      <w:start w:val="3"/>
      <w:numFmt w:val="decimal"/>
      <w:lvlText w:val="%1."/>
      <w:lvlJc w:val="left"/>
      <w:pPr>
        <w:tabs>
          <w:tab w:val="num" w:pos="0"/>
        </w:tabs>
        <w:ind w:left="720" w:hanging="360"/>
      </w:pPr>
      <w:rPr>
        <w:rFonts w:ascii="Calibri" w:hAnsi="Calibri" w:cs="Arial" w:hint="default"/>
        <w:b w:val="0"/>
        <w:kern w:val="2"/>
        <w:sz w:val="20"/>
        <w:szCs w:val="20"/>
        <w:lang w:eastAsia="ar-SA"/>
      </w:rPr>
    </w:lvl>
    <w:lvl w:ilvl="1">
      <w:start w:val="1"/>
      <w:numFmt w:val="decimal"/>
      <w:lvlText w:val="%2)"/>
      <w:lvlJc w:val="left"/>
      <w:pPr>
        <w:tabs>
          <w:tab w:val="num" w:pos="0"/>
        </w:tabs>
        <w:ind w:left="1790" w:hanging="710"/>
      </w:pPr>
      <w:rPr>
        <w:rFonts w:ascii="Calibri" w:hAnsi="Calibri" w:cs="Arial" w:hint="default"/>
        <w:b w:val="0"/>
        <w:kern w:val="2"/>
        <w:sz w:val="20"/>
        <w:szCs w:val="20"/>
        <w:lang w:eastAsia="ar-S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29"/>
    <w:multiLevelType w:val="multilevel"/>
    <w:tmpl w:val="79A41314"/>
    <w:name w:val="WW8Num41"/>
    <w:lvl w:ilvl="0">
      <w:start w:val="1"/>
      <w:numFmt w:val="decimal"/>
      <w:lvlText w:val="%1)"/>
      <w:lvlJc w:val="left"/>
      <w:pPr>
        <w:tabs>
          <w:tab w:val="num" w:pos="708"/>
        </w:tabs>
        <w:ind w:left="720" w:hanging="360"/>
      </w:pPr>
      <w:rPr>
        <w:rFonts w:hint="default"/>
        <w:sz w:val="20"/>
        <w:szCs w:val="20"/>
      </w:rPr>
    </w:lvl>
    <w:lvl w:ilvl="1">
      <w:start w:val="1"/>
      <w:numFmt w:val="decimal"/>
      <w:lvlText w:val="%2."/>
      <w:lvlJc w:val="left"/>
      <w:pPr>
        <w:tabs>
          <w:tab w:val="num" w:pos="0"/>
        </w:tabs>
        <w:ind w:left="1790" w:hanging="710"/>
      </w:pPr>
      <w:rPr>
        <w:rFonts w:hint="default"/>
        <w:b w:val="0"/>
        <w:sz w:val="20"/>
        <w:szCs w:val="20"/>
      </w:rPr>
    </w:lvl>
    <w:lvl w:ilvl="2">
      <w:start w:val="1"/>
      <w:numFmt w:val="decimal"/>
      <w:lvlText w:val="%3)"/>
      <w:lvlJc w:val="left"/>
      <w:pPr>
        <w:tabs>
          <w:tab w:val="num" w:pos="0"/>
        </w:tabs>
        <w:ind w:left="2340" w:hanging="360"/>
      </w:pPr>
      <w:rPr>
        <w:rFonts w:ascii="Calibri" w:eastAsia="Calibri" w:hAnsi="Calibri" w:cs="Times New Roman"/>
        <w:b w:val="0"/>
        <w:sz w:val="20"/>
        <w:szCs w:val="20"/>
        <w:lang w:eastAsia="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2B"/>
    <w:multiLevelType w:val="multilevel"/>
    <w:tmpl w:val="8098BAAE"/>
    <w:name w:val="WW8Num43"/>
    <w:lvl w:ilvl="0">
      <w:start w:val="1"/>
      <w:numFmt w:val="lowerLetter"/>
      <w:lvlText w:val="%1)"/>
      <w:lvlJc w:val="left"/>
      <w:pPr>
        <w:tabs>
          <w:tab w:val="num" w:pos="0"/>
        </w:tabs>
        <w:ind w:left="2340" w:hanging="360"/>
      </w:pPr>
      <w:rPr>
        <w:sz w:val="20"/>
        <w:szCs w:val="20"/>
      </w:rPr>
    </w:lvl>
    <w:lvl w:ilvl="1">
      <w:start w:val="1"/>
      <w:numFmt w:val="decimal"/>
      <w:lvlText w:val="%2)"/>
      <w:lvlJc w:val="left"/>
      <w:pPr>
        <w:tabs>
          <w:tab w:val="num" w:pos="0"/>
        </w:tabs>
        <w:ind w:left="3410" w:hanging="710"/>
      </w:pPr>
      <w:rPr>
        <w:b w:val="0"/>
        <w:sz w:val="20"/>
        <w:szCs w:val="20"/>
      </w:rPr>
    </w:lvl>
    <w:lvl w:ilvl="2">
      <w:start w:val="1"/>
      <w:numFmt w:val="decimal"/>
      <w:lvlText w:val="%3."/>
      <w:lvlJc w:val="left"/>
      <w:pPr>
        <w:tabs>
          <w:tab w:val="num" w:pos="0"/>
        </w:tabs>
        <w:ind w:left="4310" w:hanging="710"/>
      </w:pPr>
      <w:rPr>
        <w:b w:val="0"/>
        <w:sz w:val="20"/>
        <w:szCs w:val="20"/>
      </w:rPr>
    </w:lvl>
    <w:lvl w:ilvl="3">
      <w:start w:val="1"/>
      <w:numFmt w:val="decimal"/>
      <w:lvlText w:val="%4."/>
      <w:lvlJc w:val="left"/>
      <w:pPr>
        <w:tabs>
          <w:tab w:val="num" w:pos="0"/>
        </w:tabs>
        <w:ind w:left="4500" w:hanging="360"/>
      </w:pPr>
    </w:lvl>
    <w:lvl w:ilvl="4">
      <w:start w:val="1"/>
      <w:numFmt w:val="lowerLetter"/>
      <w:lvlText w:val="%5."/>
      <w:lvlJc w:val="left"/>
      <w:pPr>
        <w:tabs>
          <w:tab w:val="num" w:pos="0"/>
        </w:tabs>
        <w:ind w:left="5220" w:hanging="360"/>
      </w:pPr>
    </w:lvl>
    <w:lvl w:ilvl="5">
      <w:start w:val="1"/>
      <w:numFmt w:val="lowerRoman"/>
      <w:lvlText w:val="%6."/>
      <w:lvlJc w:val="right"/>
      <w:pPr>
        <w:tabs>
          <w:tab w:val="num" w:pos="0"/>
        </w:tabs>
        <w:ind w:left="5940" w:hanging="180"/>
      </w:pPr>
    </w:lvl>
    <w:lvl w:ilvl="6">
      <w:start w:val="1"/>
      <w:numFmt w:val="decimal"/>
      <w:lvlText w:val="%7."/>
      <w:lvlJc w:val="left"/>
      <w:pPr>
        <w:tabs>
          <w:tab w:val="num" w:pos="0"/>
        </w:tabs>
        <w:ind w:left="6660" w:hanging="360"/>
      </w:pPr>
    </w:lvl>
    <w:lvl w:ilvl="7">
      <w:start w:val="1"/>
      <w:numFmt w:val="lowerLetter"/>
      <w:lvlText w:val="%8."/>
      <w:lvlJc w:val="left"/>
      <w:pPr>
        <w:tabs>
          <w:tab w:val="num" w:pos="0"/>
        </w:tabs>
        <w:ind w:left="7380" w:hanging="360"/>
      </w:pPr>
    </w:lvl>
    <w:lvl w:ilvl="8">
      <w:start w:val="1"/>
      <w:numFmt w:val="lowerRoman"/>
      <w:lvlText w:val="%9."/>
      <w:lvlJc w:val="right"/>
      <w:pPr>
        <w:tabs>
          <w:tab w:val="num" w:pos="0"/>
        </w:tabs>
        <w:ind w:left="8100" w:hanging="180"/>
      </w:pPr>
    </w:lvl>
  </w:abstractNum>
  <w:abstractNum w:abstractNumId="5" w15:restartNumberingAfterBreak="0">
    <w:nsid w:val="029E0904"/>
    <w:multiLevelType w:val="hybridMultilevel"/>
    <w:tmpl w:val="9FC60512"/>
    <w:lvl w:ilvl="0" w:tplc="936C0810">
      <w:start w:val="1"/>
      <w:numFmt w:val="decimal"/>
      <w:lvlText w:val="%1."/>
      <w:lvlJc w:val="left"/>
      <w:pPr>
        <w:ind w:left="360" w:hanging="360"/>
      </w:pPr>
      <w:rPr>
        <w:rFonts w:eastAsia="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5691A6D"/>
    <w:multiLevelType w:val="hybridMultilevel"/>
    <w:tmpl w:val="308CB314"/>
    <w:lvl w:ilvl="0" w:tplc="FD5C3532">
      <w:start w:val="1"/>
      <w:numFmt w:val="lowerLetter"/>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84E2526"/>
    <w:multiLevelType w:val="hybridMultilevel"/>
    <w:tmpl w:val="3198F2DC"/>
    <w:lvl w:ilvl="0" w:tplc="1040ADC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002DCA"/>
    <w:multiLevelType w:val="hybridMultilevel"/>
    <w:tmpl w:val="75141D5A"/>
    <w:lvl w:ilvl="0" w:tplc="8EA2470E">
      <w:start w:val="1"/>
      <w:numFmt w:val="upperRoman"/>
      <w:lvlText w:val="%1."/>
      <w:lvlJc w:val="left"/>
      <w:pPr>
        <w:ind w:left="1080" w:hanging="72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A61613"/>
    <w:multiLevelType w:val="singleLevel"/>
    <w:tmpl w:val="B2C01F38"/>
    <w:name w:val="WW8Num30"/>
    <w:lvl w:ilvl="0">
      <w:start w:val="1"/>
      <w:numFmt w:val="decimal"/>
      <w:lvlText w:val="%1)"/>
      <w:lvlJc w:val="left"/>
      <w:pPr>
        <w:tabs>
          <w:tab w:val="num" w:pos="0"/>
        </w:tabs>
        <w:ind w:left="1070" w:hanging="710"/>
      </w:pPr>
      <w:rPr>
        <w:sz w:val="20"/>
        <w:szCs w:val="20"/>
      </w:rPr>
    </w:lvl>
  </w:abstractNum>
  <w:abstractNum w:abstractNumId="10" w15:restartNumberingAfterBreak="0">
    <w:nsid w:val="2CDE75DA"/>
    <w:multiLevelType w:val="hybridMultilevel"/>
    <w:tmpl w:val="8708B1E4"/>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5A7E90"/>
    <w:multiLevelType w:val="hybridMultilevel"/>
    <w:tmpl w:val="2480846C"/>
    <w:lvl w:ilvl="0" w:tplc="14787C54">
      <w:start w:val="13"/>
      <w:numFmt w:val="decimal"/>
      <w:lvlText w:val="%1)"/>
      <w:lvlJc w:val="left"/>
      <w:pPr>
        <w:ind w:left="3770" w:hanging="360"/>
      </w:pPr>
      <w:rPr>
        <w:rFonts w:hint="default"/>
      </w:rPr>
    </w:lvl>
    <w:lvl w:ilvl="1" w:tplc="04150019" w:tentative="1">
      <w:start w:val="1"/>
      <w:numFmt w:val="lowerLetter"/>
      <w:lvlText w:val="%2."/>
      <w:lvlJc w:val="left"/>
      <w:pPr>
        <w:ind w:left="4490" w:hanging="360"/>
      </w:pPr>
    </w:lvl>
    <w:lvl w:ilvl="2" w:tplc="0415001B" w:tentative="1">
      <w:start w:val="1"/>
      <w:numFmt w:val="lowerRoman"/>
      <w:lvlText w:val="%3."/>
      <w:lvlJc w:val="right"/>
      <w:pPr>
        <w:ind w:left="5210" w:hanging="180"/>
      </w:pPr>
    </w:lvl>
    <w:lvl w:ilvl="3" w:tplc="0415000F" w:tentative="1">
      <w:start w:val="1"/>
      <w:numFmt w:val="decimal"/>
      <w:lvlText w:val="%4."/>
      <w:lvlJc w:val="left"/>
      <w:pPr>
        <w:ind w:left="5930" w:hanging="360"/>
      </w:pPr>
    </w:lvl>
    <w:lvl w:ilvl="4" w:tplc="04150019" w:tentative="1">
      <w:start w:val="1"/>
      <w:numFmt w:val="lowerLetter"/>
      <w:lvlText w:val="%5."/>
      <w:lvlJc w:val="left"/>
      <w:pPr>
        <w:ind w:left="6650" w:hanging="360"/>
      </w:pPr>
    </w:lvl>
    <w:lvl w:ilvl="5" w:tplc="0415001B" w:tentative="1">
      <w:start w:val="1"/>
      <w:numFmt w:val="lowerRoman"/>
      <w:lvlText w:val="%6."/>
      <w:lvlJc w:val="right"/>
      <w:pPr>
        <w:ind w:left="7370" w:hanging="180"/>
      </w:pPr>
    </w:lvl>
    <w:lvl w:ilvl="6" w:tplc="0415000F" w:tentative="1">
      <w:start w:val="1"/>
      <w:numFmt w:val="decimal"/>
      <w:lvlText w:val="%7."/>
      <w:lvlJc w:val="left"/>
      <w:pPr>
        <w:ind w:left="8090" w:hanging="360"/>
      </w:pPr>
    </w:lvl>
    <w:lvl w:ilvl="7" w:tplc="04150019" w:tentative="1">
      <w:start w:val="1"/>
      <w:numFmt w:val="lowerLetter"/>
      <w:lvlText w:val="%8."/>
      <w:lvlJc w:val="left"/>
      <w:pPr>
        <w:ind w:left="8810" w:hanging="360"/>
      </w:pPr>
    </w:lvl>
    <w:lvl w:ilvl="8" w:tplc="0415001B" w:tentative="1">
      <w:start w:val="1"/>
      <w:numFmt w:val="lowerRoman"/>
      <w:lvlText w:val="%9."/>
      <w:lvlJc w:val="right"/>
      <w:pPr>
        <w:ind w:left="9530" w:hanging="180"/>
      </w:pPr>
    </w:lvl>
  </w:abstractNum>
  <w:abstractNum w:abstractNumId="12" w15:restartNumberingAfterBreak="0">
    <w:nsid w:val="314A1545"/>
    <w:multiLevelType w:val="hybridMultilevel"/>
    <w:tmpl w:val="87C044D2"/>
    <w:lvl w:ilvl="0" w:tplc="333277FC">
      <w:start w:val="13"/>
      <w:numFmt w:val="decimal"/>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FB2F80"/>
    <w:multiLevelType w:val="multilevel"/>
    <w:tmpl w:val="00000029"/>
    <w:lvl w:ilvl="0">
      <w:start w:val="1"/>
      <w:numFmt w:val="decimal"/>
      <w:lvlText w:val="%1)"/>
      <w:lvlJc w:val="left"/>
      <w:pPr>
        <w:tabs>
          <w:tab w:val="num" w:pos="708"/>
        </w:tabs>
        <w:ind w:left="720" w:hanging="360"/>
      </w:pPr>
      <w:rPr>
        <w:sz w:val="20"/>
        <w:szCs w:val="20"/>
      </w:rPr>
    </w:lvl>
    <w:lvl w:ilvl="1">
      <w:start w:val="1"/>
      <w:numFmt w:val="decimal"/>
      <w:lvlText w:val="%2."/>
      <w:lvlJc w:val="left"/>
      <w:pPr>
        <w:tabs>
          <w:tab w:val="num" w:pos="-797"/>
        </w:tabs>
        <w:ind w:left="993" w:hanging="710"/>
      </w:pPr>
      <w:rPr>
        <w:sz w:val="20"/>
        <w:szCs w:val="20"/>
      </w:rPr>
    </w:lvl>
    <w:lvl w:ilvl="2">
      <w:start w:val="1"/>
      <w:numFmt w:val="decimal"/>
      <w:lvlText w:val="%3)"/>
      <w:lvlJc w:val="left"/>
      <w:pPr>
        <w:tabs>
          <w:tab w:val="num" w:pos="-1413"/>
        </w:tabs>
        <w:ind w:left="927" w:hanging="360"/>
      </w:pPr>
      <w:rPr>
        <w:rFonts w:ascii="Calibri" w:eastAsia="Calibri" w:hAnsi="Calibri" w:cs="Times New Roman"/>
        <w:sz w:val="20"/>
        <w:szCs w:val="20"/>
        <w:lang w:eastAsia="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2FA2999"/>
    <w:multiLevelType w:val="hybridMultilevel"/>
    <w:tmpl w:val="10945B80"/>
    <w:lvl w:ilvl="0" w:tplc="B6C40570">
      <w:start w:val="3"/>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43CA5097"/>
    <w:multiLevelType w:val="hybridMultilevel"/>
    <w:tmpl w:val="C1101934"/>
    <w:lvl w:ilvl="0" w:tplc="FBA0F47C">
      <w:start w:val="3"/>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45127BFA"/>
    <w:multiLevelType w:val="multilevel"/>
    <w:tmpl w:val="00000029"/>
    <w:lvl w:ilvl="0">
      <w:start w:val="1"/>
      <w:numFmt w:val="decimal"/>
      <w:lvlText w:val="%1)"/>
      <w:lvlJc w:val="left"/>
      <w:pPr>
        <w:tabs>
          <w:tab w:val="num" w:pos="708"/>
        </w:tabs>
        <w:ind w:left="720" w:hanging="360"/>
      </w:pPr>
      <w:rPr>
        <w:sz w:val="20"/>
        <w:szCs w:val="20"/>
      </w:rPr>
    </w:lvl>
    <w:lvl w:ilvl="1">
      <w:start w:val="1"/>
      <w:numFmt w:val="decimal"/>
      <w:lvlText w:val="%2."/>
      <w:lvlJc w:val="left"/>
      <w:pPr>
        <w:tabs>
          <w:tab w:val="num" w:pos="-797"/>
        </w:tabs>
        <w:ind w:left="993" w:hanging="710"/>
      </w:pPr>
      <w:rPr>
        <w:sz w:val="20"/>
        <w:szCs w:val="20"/>
      </w:rPr>
    </w:lvl>
    <w:lvl w:ilvl="2">
      <w:start w:val="1"/>
      <w:numFmt w:val="decimal"/>
      <w:lvlText w:val="%3)"/>
      <w:lvlJc w:val="left"/>
      <w:pPr>
        <w:tabs>
          <w:tab w:val="num" w:pos="-1413"/>
        </w:tabs>
        <w:ind w:left="927" w:hanging="360"/>
      </w:pPr>
      <w:rPr>
        <w:rFonts w:ascii="Calibri" w:eastAsia="Calibri" w:hAnsi="Calibri" w:cs="Times New Roman"/>
        <w:sz w:val="20"/>
        <w:szCs w:val="20"/>
        <w:lang w:eastAsia="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59C3D55"/>
    <w:multiLevelType w:val="hybridMultilevel"/>
    <w:tmpl w:val="0090D6C6"/>
    <w:lvl w:ilvl="0" w:tplc="14787C54">
      <w:start w:val="1"/>
      <w:numFmt w:val="decimal"/>
      <w:lvlText w:val="%1)"/>
      <w:lvlJc w:val="left"/>
      <w:pPr>
        <w:ind w:left="3770" w:hanging="360"/>
      </w:pPr>
      <w:rPr>
        <w:rFonts w:hint="default"/>
      </w:rPr>
    </w:lvl>
    <w:lvl w:ilvl="1" w:tplc="04150019" w:tentative="1">
      <w:start w:val="1"/>
      <w:numFmt w:val="lowerLetter"/>
      <w:lvlText w:val="%2."/>
      <w:lvlJc w:val="left"/>
      <w:pPr>
        <w:ind w:left="4490" w:hanging="360"/>
      </w:pPr>
    </w:lvl>
    <w:lvl w:ilvl="2" w:tplc="0415001B" w:tentative="1">
      <w:start w:val="1"/>
      <w:numFmt w:val="lowerRoman"/>
      <w:lvlText w:val="%3."/>
      <w:lvlJc w:val="right"/>
      <w:pPr>
        <w:ind w:left="5210" w:hanging="180"/>
      </w:pPr>
    </w:lvl>
    <w:lvl w:ilvl="3" w:tplc="0415000F" w:tentative="1">
      <w:start w:val="1"/>
      <w:numFmt w:val="decimal"/>
      <w:lvlText w:val="%4."/>
      <w:lvlJc w:val="left"/>
      <w:pPr>
        <w:ind w:left="5930" w:hanging="360"/>
      </w:pPr>
    </w:lvl>
    <w:lvl w:ilvl="4" w:tplc="04150019" w:tentative="1">
      <w:start w:val="1"/>
      <w:numFmt w:val="lowerLetter"/>
      <w:lvlText w:val="%5."/>
      <w:lvlJc w:val="left"/>
      <w:pPr>
        <w:ind w:left="6650" w:hanging="360"/>
      </w:pPr>
    </w:lvl>
    <w:lvl w:ilvl="5" w:tplc="0415001B" w:tentative="1">
      <w:start w:val="1"/>
      <w:numFmt w:val="lowerRoman"/>
      <w:lvlText w:val="%6."/>
      <w:lvlJc w:val="right"/>
      <w:pPr>
        <w:ind w:left="7370" w:hanging="180"/>
      </w:pPr>
    </w:lvl>
    <w:lvl w:ilvl="6" w:tplc="0415000F" w:tentative="1">
      <w:start w:val="1"/>
      <w:numFmt w:val="decimal"/>
      <w:lvlText w:val="%7."/>
      <w:lvlJc w:val="left"/>
      <w:pPr>
        <w:ind w:left="8090" w:hanging="360"/>
      </w:pPr>
    </w:lvl>
    <w:lvl w:ilvl="7" w:tplc="04150019" w:tentative="1">
      <w:start w:val="1"/>
      <w:numFmt w:val="lowerLetter"/>
      <w:lvlText w:val="%8."/>
      <w:lvlJc w:val="left"/>
      <w:pPr>
        <w:ind w:left="8810" w:hanging="360"/>
      </w:pPr>
    </w:lvl>
    <w:lvl w:ilvl="8" w:tplc="0415001B" w:tentative="1">
      <w:start w:val="1"/>
      <w:numFmt w:val="lowerRoman"/>
      <w:lvlText w:val="%9."/>
      <w:lvlJc w:val="right"/>
      <w:pPr>
        <w:ind w:left="9530" w:hanging="180"/>
      </w:pPr>
    </w:lvl>
  </w:abstractNum>
  <w:abstractNum w:abstractNumId="18" w15:restartNumberingAfterBreak="0">
    <w:nsid w:val="4F66371C"/>
    <w:multiLevelType w:val="hybridMultilevel"/>
    <w:tmpl w:val="E1E6EE0A"/>
    <w:lvl w:ilvl="0" w:tplc="CB448C54">
      <w:start w:val="3"/>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15:restartNumberingAfterBreak="0">
    <w:nsid w:val="51777E8B"/>
    <w:multiLevelType w:val="multilevel"/>
    <w:tmpl w:val="F484F252"/>
    <w:lvl w:ilvl="0">
      <w:start w:val="1"/>
      <w:numFmt w:val="bullet"/>
      <w:lvlText w:val=""/>
      <w:lvlJc w:val="left"/>
      <w:pPr>
        <w:tabs>
          <w:tab w:val="num" w:pos="1068"/>
        </w:tabs>
        <w:ind w:left="1068" w:hanging="360"/>
      </w:pPr>
      <w:rPr>
        <w:rFonts w:ascii="Symbol" w:hAnsi="Symbol" w:hint="default"/>
        <w:color w:val="auto"/>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0" w15:restartNumberingAfterBreak="0">
    <w:nsid w:val="54614DC0"/>
    <w:multiLevelType w:val="hybridMultilevel"/>
    <w:tmpl w:val="64B02DA6"/>
    <w:lvl w:ilvl="0" w:tplc="8C308316">
      <w:start w:val="7"/>
      <w:numFmt w:val="upperRoman"/>
      <w:lvlText w:val="%1&gt;"/>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04E5697"/>
    <w:multiLevelType w:val="hybridMultilevel"/>
    <w:tmpl w:val="F2C4DEEC"/>
    <w:lvl w:ilvl="0" w:tplc="0415000F">
      <w:start w:val="12"/>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2" w15:restartNumberingAfterBreak="0">
    <w:nsid w:val="674D3EC9"/>
    <w:multiLevelType w:val="hybridMultilevel"/>
    <w:tmpl w:val="A6441CA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15:restartNumberingAfterBreak="0">
    <w:nsid w:val="68170EE5"/>
    <w:multiLevelType w:val="multilevel"/>
    <w:tmpl w:val="00000023"/>
    <w:lvl w:ilvl="0">
      <w:start w:val="1"/>
      <w:numFmt w:val="decimal"/>
      <w:lvlText w:val="%1."/>
      <w:lvlJc w:val="left"/>
      <w:pPr>
        <w:tabs>
          <w:tab w:val="num" w:pos="-218"/>
        </w:tabs>
        <w:ind w:left="852" w:hanging="710"/>
      </w:pPr>
      <w:rPr>
        <w:sz w:val="20"/>
        <w:szCs w:val="20"/>
      </w:rPr>
    </w:lvl>
    <w:lvl w:ilvl="1">
      <w:start w:val="1"/>
      <w:numFmt w:val="decimal"/>
      <w:lvlText w:val="%2)"/>
      <w:lvlJc w:val="left"/>
      <w:pPr>
        <w:tabs>
          <w:tab w:val="num" w:pos="0"/>
        </w:tabs>
        <w:ind w:left="1790" w:hanging="710"/>
      </w:pPr>
      <w:rPr>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8461485"/>
    <w:multiLevelType w:val="hybridMultilevel"/>
    <w:tmpl w:val="9774A89C"/>
    <w:lvl w:ilvl="0" w:tplc="3DF8ADB6">
      <w:start w:val="3"/>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6B3175F6"/>
    <w:multiLevelType w:val="multilevel"/>
    <w:tmpl w:val="903A7532"/>
    <w:lvl w:ilvl="0">
      <w:start w:val="1"/>
      <w:numFmt w:val="decimal"/>
      <w:lvlText w:val="%1."/>
      <w:lvlJc w:val="left"/>
      <w:pPr>
        <w:ind w:left="360" w:hanging="360"/>
      </w:pPr>
      <w:rPr>
        <w:rFonts w:hint="default"/>
        <w:b/>
        <w:sz w:val="24"/>
      </w:rPr>
    </w:lvl>
    <w:lvl w:ilvl="1">
      <w:start w:val="1"/>
      <w:numFmt w:val="decimal"/>
      <w:lvlText w:val="%1.%2."/>
      <w:lvlJc w:val="left"/>
      <w:pPr>
        <w:ind w:left="792" w:hanging="432"/>
      </w:pPr>
      <w:rPr>
        <w:rFonts w:hint="default"/>
        <w:b/>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E435E42"/>
    <w:multiLevelType w:val="hybridMultilevel"/>
    <w:tmpl w:val="3126D4A2"/>
    <w:lvl w:ilvl="0" w:tplc="51B4EF2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0891343"/>
    <w:multiLevelType w:val="hybridMultilevel"/>
    <w:tmpl w:val="39166852"/>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10F0A3E"/>
    <w:multiLevelType w:val="hybridMultilevel"/>
    <w:tmpl w:val="75141D5A"/>
    <w:lvl w:ilvl="0" w:tplc="8EA2470E">
      <w:start w:val="1"/>
      <w:numFmt w:val="upperRoman"/>
      <w:lvlText w:val="%1."/>
      <w:lvlJc w:val="left"/>
      <w:pPr>
        <w:ind w:left="1080" w:hanging="72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256AA9"/>
    <w:multiLevelType w:val="hybridMultilevel"/>
    <w:tmpl w:val="58BCB49C"/>
    <w:lvl w:ilvl="0" w:tplc="B2B436F2">
      <w:start w:val="1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 w15:restartNumberingAfterBreak="0">
    <w:nsid w:val="786D4C72"/>
    <w:multiLevelType w:val="multilevel"/>
    <w:tmpl w:val="FE84A9EC"/>
    <w:lvl w:ilvl="0">
      <w:start w:val="14"/>
      <w:numFmt w:val="decimal"/>
      <w:lvlText w:val="%1."/>
      <w:lvlJc w:val="left"/>
      <w:pPr>
        <w:ind w:left="594" w:hanging="594"/>
      </w:pPr>
    </w:lvl>
    <w:lvl w:ilvl="1">
      <w:start w:val="2"/>
      <w:numFmt w:val="decimal"/>
      <w:lvlText w:val="%1.%2."/>
      <w:lvlJc w:val="left"/>
      <w:pPr>
        <w:ind w:left="594" w:hanging="59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CFC336F"/>
    <w:multiLevelType w:val="hybridMultilevel"/>
    <w:tmpl w:val="66A2B2B4"/>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5"/>
  </w:num>
  <w:num w:numId="3">
    <w:abstractNumId w:val="2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1"/>
  </w:num>
  <w:num w:numId="12">
    <w:abstractNumId w:val="10"/>
  </w:num>
  <w:num w:numId="13">
    <w:abstractNumId w:val="21"/>
  </w:num>
  <w:num w:numId="14">
    <w:abstractNumId w:val="18"/>
  </w:num>
  <w:num w:numId="15">
    <w:abstractNumId w:val="14"/>
  </w:num>
  <w:num w:numId="16">
    <w:abstractNumId w:val="24"/>
  </w:num>
  <w:num w:numId="17">
    <w:abstractNumId w:val="29"/>
  </w:num>
  <w:num w:numId="18">
    <w:abstractNumId w:val="15"/>
  </w:num>
  <w:num w:numId="19">
    <w:abstractNumId w:val="9"/>
    <w:lvlOverride w:ilvl="0">
      <w:startOverride w:val="1"/>
    </w:lvlOverride>
  </w:num>
  <w:num w:numId="20">
    <w:abstractNumId w:val="26"/>
  </w:num>
  <w:num w:numId="21">
    <w:abstractNumId w:val="28"/>
  </w:num>
  <w:num w:numId="2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7"/>
  </w:num>
  <w:num w:numId="26">
    <w:abstractNumId w:val="11"/>
  </w:num>
  <w:num w:numId="27">
    <w:abstractNumId w:val="12"/>
  </w:num>
  <w:num w:numId="28">
    <w:abstractNumId w:val="8"/>
  </w:num>
  <w:num w:numId="29">
    <w:abstractNumId w:val="3"/>
  </w:num>
  <w:num w:numId="30">
    <w:abstractNumId w:val="0"/>
  </w:num>
  <w:num w:numId="31">
    <w:abstractNumId w:val="7"/>
  </w:num>
  <w:num w:numId="32">
    <w:abstractNumId w:val="20"/>
  </w:num>
  <w:num w:numId="33">
    <w:abstractNumId w:val="30"/>
    <w:lvlOverride w:ilvl="0">
      <w:startOverride w:val="1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AB7"/>
    <w:rsid w:val="0000165E"/>
    <w:rsid w:val="0001405E"/>
    <w:rsid w:val="00023304"/>
    <w:rsid w:val="0002431C"/>
    <w:rsid w:val="0003655A"/>
    <w:rsid w:val="00040B57"/>
    <w:rsid w:val="00050723"/>
    <w:rsid w:val="00057BA8"/>
    <w:rsid w:val="00075502"/>
    <w:rsid w:val="00097A4B"/>
    <w:rsid w:val="000A1690"/>
    <w:rsid w:val="000A2A46"/>
    <w:rsid w:val="000D03B4"/>
    <w:rsid w:val="000E489B"/>
    <w:rsid w:val="000F6614"/>
    <w:rsid w:val="001531D6"/>
    <w:rsid w:val="00156528"/>
    <w:rsid w:val="00160B3D"/>
    <w:rsid w:val="00162B26"/>
    <w:rsid w:val="00167755"/>
    <w:rsid w:val="00173242"/>
    <w:rsid w:val="00177E41"/>
    <w:rsid w:val="00194E00"/>
    <w:rsid w:val="001A6EE4"/>
    <w:rsid w:val="001E7047"/>
    <w:rsid w:val="001F00DA"/>
    <w:rsid w:val="0021351C"/>
    <w:rsid w:val="002256A3"/>
    <w:rsid w:val="00235B02"/>
    <w:rsid w:val="00236A0C"/>
    <w:rsid w:val="00240BDD"/>
    <w:rsid w:val="00272C45"/>
    <w:rsid w:val="0029058F"/>
    <w:rsid w:val="002A2383"/>
    <w:rsid w:val="002B0736"/>
    <w:rsid w:val="002C173D"/>
    <w:rsid w:val="002C1F8E"/>
    <w:rsid w:val="002C6E95"/>
    <w:rsid w:val="002E0386"/>
    <w:rsid w:val="002E1EF8"/>
    <w:rsid w:val="002F5943"/>
    <w:rsid w:val="00302C4F"/>
    <w:rsid w:val="00303A01"/>
    <w:rsid w:val="003065E3"/>
    <w:rsid w:val="00314BFE"/>
    <w:rsid w:val="00331732"/>
    <w:rsid w:val="0038124D"/>
    <w:rsid w:val="00385940"/>
    <w:rsid w:val="0038717A"/>
    <w:rsid w:val="003C4D5A"/>
    <w:rsid w:val="003E7267"/>
    <w:rsid w:val="003F0DCF"/>
    <w:rsid w:val="00403381"/>
    <w:rsid w:val="004114D3"/>
    <w:rsid w:val="00420DAC"/>
    <w:rsid w:val="00427360"/>
    <w:rsid w:val="00445B1A"/>
    <w:rsid w:val="00450184"/>
    <w:rsid w:val="0046788D"/>
    <w:rsid w:val="0047462E"/>
    <w:rsid w:val="00490CB8"/>
    <w:rsid w:val="004928A7"/>
    <w:rsid w:val="00493A1B"/>
    <w:rsid w:val="004A1AD9"/>
    <w:rsid w:val="004C0105"/>
    <w:rsid w:val="004F3383"/>
    <w:rsid w:val="005079D2"/>
    <w:rsid w:val="00524322"/>
    <w:rsid w:val="00526CEA"/>
    <w:rsid w:val="00543569"/>
    <w:rsid w:val="00560A3F"/>
    <w:rsid w:val="00590693"/>
    <w:rsid w:val="00593A78"/>
    <w:rsid w:val="005A19C4"/>
    <w:rsid w:val="005C58B7"/>
    <w:rsid w:val="005D3015"/>
    <w:rsid w:val="005F611A"/>
    <w:rsid w:val="00605F47"/>
    <w:rsid w:val="00611023"/>
    <w:rsid w:val="00611879"/>
    <w:rsid w:val="00635581"/>
    <w:rsid w:val="00636038"/>
    <w:rsid w:val="0064352C"/>
    <w:rsid w:val="0065213D"/>
    <w:rsid w:val="00655416"/>
    <w:rsid w:val="00655F66"/>
    <w:rsid w:val="00657599"/>
    <w:rsid w:val="00665788"/>
    <w:rsid w:val="00680A74"/>
    <w:rsid w:val="00685095"/>
    <w:rsid w:val="00693D90"/>
    <w:rsid w:val="00697F41"/>
    <w:rsid w:val="006B1469"/>
    <w:rsid w:val="006C1AD4"/>
    <w:rsid w:val="006D14AE"/>
    <w:rsid w:val="006D24E4"/>
    <w:rsid w:val="00700E52"/>
    <w:rsid w:val="00714FC0"/>
    <w:rsid w:val="00717858"/>
    <w:rsid w:val="00720534"/>
    <w:rsid w:val="00735731"/>
    <w:rsid w:val="0074597B"/>
    <w:rsid w:val="00750F95"/>
    <w:rsid w:val="007729C5"/>
    <w:rsid w:val="007833D6"/>
    <w:rsid w:val="0078507B"/>
    <w:rsid w:val="00791526"/>
    <w:rsid w:val="007B06FE"/>
    <w:rsid w:val="007B3A0F"/>
    <w:rsid w:val="007B3E85"/>
    <w:rsid w:val="007C0CBF"/>
    <w:rsid w:val="007D2040"/>
    <w:rsid w:val="007E10B1"/>
    <w:rsid w:val="007E16AD"/>
    <w:rsid w:val="007E4EAA"/>
    <w:rsid w:val="00823E53"/>
    <w:rsid w:val="0082760A"/>
    <w:rsid w:val="0084684F"/>
    <w:rsid w:val="008C0D10"/>
    <w:rsid w:val="008C5F60"/>
    <w:rsid w:val="008D1621"/>
    <w:rsid w:val="008D168F"/>
    <w:rsid w:val="0093178D"/>
    <w:rsid w:val="009330D8"/>
    <w:rsid w:val="0093428B"/>
    <w:rsid w:val="009416F1"/>
    <w:rsid w:val="00975DDD"/>
    <w:rsid w:val="00985032"/>
    <w:rsid w:val="009850E5"/>
    <w:rsid w:val="009963E4"/>
    <w:rsid w:val="009B05F8"/>
    <w:rsid w:val="009C53F4"/>
    <w:rsid w:val="009E3F34"/>
    <w:rsid w:val="009F0CCA"/>
    <w:rsid w:val="00A1187E"/>
    <w:rsid w:val="00A13AE3"/>
    <w:rsid w:val="00A23452"/>
    <w:rsid w:val="00A512A6"/>
    <w:rsid w:val="00A56F61"/>
    <w:rsid w:val="00A60610"/>
    <w:rsid w:val="00A60BB0"/>
    <w:rsid w:val="00A658A6"/>
    <w:rsid w:val="00A66345"/>
    <w:rsid w:val="00A6678D"/>
    <w:rsid w:val="00A77D94"/>
    <w:rsid w:val="00A8432F"/>
    <w:rsid w:val="00AA1BF1"/>
    <w:rsid w:val="00AB69AF"/>
    <w:rsid w:val="00AE3992"/>
    <w:rsid w:val="00B10216"/>
    <w:rsid w:val="00B11A93"/>
    <w:rsid w:val="00B13512"/>
    <w:rsid w:val="00B230CE"/>
    <w:rsid w:val="00B268E0"/>
    <w:rsid w:val="00B45926"/>
    <w:rsid w:val="00B459AD"/>
    <w:rsid w:val="00B52CBD"/>
    <w:rsid w:val="00B60A4A"/>
    <w:rsid w:val="00B83AB7"/>
    <w:rsid w:val="00BA1BDF"/>
    <w:rsid w:val="00BB33EB"/>
    <w:rsid w:val="00BB413D"/>
    <w:rsid w:val="00BB69AC"/>
    <w:rsid w:val="00BE0CCE"/>
    <w:rsid w:val="00BF5862"/>
    <w:rsid w:val="00C020CD"/>
    <w:rsid w:val="00C2122D"/>
    <w:rsid w:val="00C455BC"/>
    <w:rsid w:val="00C65001"/>
    <w:rsid w:val="00C75CE9"/>
    <w:rsid w:val="00C85174"/>
    <w:rsid w:val="00C87530"/>
    <w:rsid w:val="00CA5393"/>
    <w:rsid w:val="00CB7EB9"/>
    <w:rsid w:val="00CF04AF"/>
    <w:rsid w:val="00D00BBB"/>
    <w:rsid w:val="00D15DC7"/>
    <w:rsid w:val="00D3251F"/>
    <w:rsid w:val="00D33F8F"/>
    <w:rsid w:val="00D62A99"/>
    <w:rsid w:val="00D70773"/>
    <w:rsid w:val="00D71055"/>
    <w:rsid w:val="00D875C3"/>
    <w:rsid w:val="00D905BF"/>
    <w:rsid w:val="00D911D4"/>
    <w:rsid w:val="00D92041"/>
    <w:rsid w:val="00DA452D"/>
    <w:rsid w:val="00DA65F1"/>
    <w:rsid w:val="00DB2060"/>
    <w:rsid w:val="00DC0CF5"/>
    <w:rsid w:val="00DD6B9D"/>
    <w:rsid w:val="00DE27D1"/>
    <w:rsid w:val="00E01B8F"/>
    <w:rsid w:val="00E1029C"/>
    <w:rsid w:val="00E10F3D"/>
    <w:rsid w:val="00E35A30"/>
    <w:rsid w:val="00E42C49"/>
    <w:rsid w:val="00EC1D9C"/>
    <w:rsid w:val="00EC4412"/>
    <w:rsid w:val="00EC72E8"/>
    <w:rsid w:val="00EF409E"/>
    <w:rsid w:val="00EF664C"/>
    <w:rsid w:val="00F157F8"/>
    <w:rsid w:val="00F23D62"/>
    <w:rsid w:val="00F268A6"/>
    <w:rsid w:val="00F37FD1"/>
    <w:rsid w:val="00F5410C"/>
    <w:rsid w:val="00F57AAB"/>
    <w:rsid w:val="00F74890"/>
    <w:rsid w:val="00F81ED2"/>
    <w:rsid w:val="00F83B68"/>
    <w:rsid w:val="00F85705"/>
    <w:rsid w:val="00F87860"/>
    <w:rsid w:val="00F96B59"/>
    <w:rsid w:val="00F97598"/>
    <w:rsid w:val="00FA1DA1"/>
    <w:rsid w:val="00FA6DF3"/>
    <w:rsid w:val="00FA7907"/>
    <w:rsid w:val="00FC69FE"/>
    <w:rsid w:val="019DFBDB"/>
    <w:rsid w:val="021AD22F"/>
    <w:rsid w:val="0220D114"/>
    <w:rsid w:val="0254E0C0"/>
    <w:rsid w:val="04B9149D"/>
    <w:rsid w:val="04CB1F61"/>
    <w:rsid w:val="04F7CBC6"/>
    <w:rsid w:val="061578C1"/>
    <w:rsid w:val="075F5585"/>
    <w:rsid w:val="098040C4"/>
    <w:rsid w:val="09C9C899"/>
    <w:rsid w:val="0AF542B8"/>
    <w:rsid w:val="0BF2EB6F"/>
    <w:rsid w:val="0C11650E"/>
    <w:rsid w:val="0C55BE0A"/>
    <w:rsid w:val="0E5746AE"/>
    <w:rsid w:val="0F24006C"/>
    <w:rsid w:val="103D59C0"/>
    <w:rsid w:val="106A71B4"/>
    <w:rsid w:val="11D2AF6F"/>
    <w:rsid w:val="12141A89"/>
    <w:rsid w:val="12433A28"/>
    <w:rsid w:val="137DC269"/>
    <w:rsid w:val="1555B867"/>
    <w:rsid w:val="15DC2B02"/>
    <w:rsid w:val="17538665"/>
    <w:rsid w:val="17C39F2D"/>
    <w:rsid w:val="17E50097"/>
    <w:rsid w:val="1847DAA8"/>
    <w:rsid w:val="18BF6957"/>
    <w:rsid w:val="195949A6"/>
    <w:rsid w:val="1E02F5F4"/>
    <w:rsid w:val="1F6AAEB5"/>
    <w:rsid w:val="2062194C"/>
    <w:rsid w:val="20ABF9BC"/>
    <w:rsid w:val="232303AE"/>
    <w:rsid w:val="234D20E5"/>
    <w:rsid w:val="267C1019"/>
    <w:rsid w:val="2717BC3E"/>
    <w:rsid w:val="279D59A4"/>
    <w:rsid w:val="282D7FB3"/>
    <w:rsid w:val="29E649A6"/>
    <w:rsid w:val="2B22503B"/>
    <w:rsid w:val="2C8413B1"/>
    <w:rsid w:val="2E56CE29"/>
    <w:rsid w:val="2EFB3997"/>
    <w:rsid w:val="2F645C15"/>
    <w:rsid w:val="2F9D0CA6"/>
    <w:rsid w:val="301C511C"/>
    <w:rsid w:val="308E93D3"/>
    <w:rsid w:val="33834628"/>
    <w:rsid w:val="34B72D4B"/>
    <w:rsid w:val="351D02CA"/>
    <w:rsid w:val="360FA85C"/>
    <w:rsid w:val="376A2F9C"/>
    <w:rsid w:val="3793C35A"/>
    <w:rsid w:val="38062550"/>
    <w:rsid w:val="3A4134A0"/>
    <w:rsid w:val="3A635F81"/>
    <w:rsid w:val="3B11D3D1"/>
    <w:rsid w:val="3C8C82DB"/>
    <w:rsid w:val="3D1DC128"/>
    <w:rsid w:val="3DFD1CFE"/>
    <w:rsid w:val="3EDFA51A"/>
    <w:rsid w:val="3FA904D9"/>
    <w:rsid w:val="3FE1A22F"/>
    <w:rsid w:val="3FEC038A"/>
    <w:rsid w:val="3FFED615"/>
    <w:rsid w:val="42C47E49"/>
    <w:rsid w:val="44064CB9"/>
    <w:rsid w:val="447097FA"/>
    <w:rsid w:val="456BDC56"/>
    <w:rsid w:val="46A3C277"/>
    <w:rsid w:val="46E14E51"/>
    <w:rsid w:val="46E34124"/>
    <w:rsid w:val="46F6C662"/>
    <w:rsid w:val="47F7DEBD"/>
    <w:rsid w:val="4918FBE2"/>
    <w:rsid w:val="49F39F6A"/>
    <w:rsid w:val="4B06431A"/>
    <w:rsid w:val="4C30F0CB"/>
    <w:rsid w:val="4EE46C0F"/>
    <w:rsid w:val="4F926B7F"/>
    <w:rsid w:val="50198BBB"/>
    <w:rsid w:val="51B45499"/>
    <w:rsid w:val="52D6F1B6"/>
    <w:rsid w:val="532F9EF5"/>
    <w:rsid w:val="54396810"/>
    <w:rsid w:val="54EE0181"/>
    <w:rsid w:val="54F78145"/>
    <w:rsid w:val="555B3DCA"/>
    <w:rsid w:val="5575B31E"/>
    <w:rsid w:val="5651C7E4"/>
    <w:rsid w:val="56794ACB"/>
    <w:rsid w:val="57BE066A"/>
    <w:rsid w:val="57EAB7F8"/>
    <w:rsid w:val="586A0E17"/>
    <w:rsid w:val="588B7053"/>
    <w:rsid w:val="58C5DFCD"/>
    <w:rsid w:val="591268D9"/>
    <w:rsid w:val="5ACDD6D6"/>
    <w:rsid w:val="5B8C875A"/>
    <w:rsid w:val="5BC1DBAA"/>
    <w:rsid w:val="5D5BF835"/>
    <w:rsid w:val="5D98874D"/>
    <w:rsid w:val="5DC91A30"/>
    <w:rsid w:val="5F0DF07F"/>
    <w:rsid w:val="5F8EB506"/>
    <w:rsid w:val="62FA0F56"/>
    <w:rsid w:val="64BC4BEB"/>
    <w:rsid w:val="64ED279F"/>
    <w:rsid w:val="6648A329"/>
    <w:rsid w:val="66D54CF4"/>
    <w:rsid w:val="673454D5"/>
    <w:rsid w:val="689A7381"/>
    <w:rsid w:val="69136F61"/>
    <w:rsid w:val="69DD7987"/>
    <w:rsid w:val="6B8D7F5A"/>
    <w:rsid w:val="6C9A6AAA"/>
    <w:rsid w:val="6D077C1D"/>
    <w:rsid w:val="6E887DFB"/>
    <w:rsid w:val="6FF2F1A0"/>
    <w:rsid w:val="703574E2"/>
    <w:rsid w:val="70F786B2"/>
    <w:rsid w:val="71A75D7E"/>
    <w:rsid w:val="71DF6D3D"/>
    <w:rsid w:val="729F4EC1"/>
    <w:rsid w:val="73C8F358"/>
    <w:rsid w:val="74327372"/>
    <w:rsid w:val="7652D8BA"/>
    <w:rsid w:val="7665963F"/>
    <w:rsid w:val="768F286A"/>
    <w:rsid w:val="7712BBD6"/>
    <w:rsid w:val="7817CAAF"/>
    <w:rsid w:val="78AA7714"/>
    <w:rsid w:val="792D8920"/>
    <w:rsid w:val="7B812D76"/>
    <w:rsid w:val="7BCB4C17"/>
    <w:rsid w:val="7D79EE33"/>
    <w:rsid w:val="7FA29C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9F024"/>
  <w15:chartTrackingRefBased/>
  <w15:docId w15:val="{06010826-F18B-4988-B14D-7AC8CEAD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330D8"/>
  </w:style>
  <w:style w:type="paragraph" w:styleId="Nagwek1">
    <w:name w:val="heading 1"/>
    <w:basedOn w:val="Normalny"/>
    <w:next w:val="Normalny"/>
    <w:qFormat/>
    <w:rsid w:val="000E489B"/>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0E489B"/>
    <w:pPr>
      <w:keepNext/>
      <w:spacing w:before="240" w:after="60"/>
      <w:outlineLvl w:val="1"/>
    </w:pPr>
    <w:rPr>
      <w:rFonts w:ascii="Arial" w:hAnsi="Arial" w:cs="Arial"/>
      <w:b/>
      <w:bCs/>
      <w:i/>
      <w:iCs/>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rawozdanie1">
    <w:name w:val="sprawozdanie_1"/>
    <w:basedOn w:val="Nagwek1"/>
    <w:next w:val="Normalny"/>
    <w:rsid w:val="000E489B"/>
    <w:pPr>
      <w:widowControl w:val="0"/>
      <w:autoSpaceDE w:val="0"/>
      <w:autoSpaceDN w:val="0"/>
      <w:adjustRightInd w:val="0"/>
      <w:spacing w:before="120" w:after="0" w:line="-360" w:lineRule="auto"/>
      <w:jc w:val="both"/>
    </w:pPr>
    <w:rPr>
      <w:rFonts w:ascii="Bookman Old Style" w:hAnsi="Bookman Old Style" w:cs="Times New Roman"/>
      <w:kern w:val="0"/>
      <w:sz w:val="24"/>
      <w:szCs w:val="24"/>
    </w:rPr>
  </w:style>
  <w:style w:type="paragraph" w:customStyle="1" w:styleId="sprawozdanie2">
    <w:name w:val="sprawozdanie_2"/>
    <w:basedOn w:val="Nagwek2"/>
    <w:next w:val="Normalny"/>
    <w:rsid w:val="000E489B"/>
    <w:pPr>
      <w:widowControl w:val="0"/>
      <w:autoSpaceDE w:val="0"/>
      <w:autoSpaceDN w:val="0"/>
      <w:adjustRightInd w:val="0"/>
      <w:spacing w:before="0" w:after="0"/>
    </w:pPr>
    <w:rPr>
      <w:rFonts w:ascii="Bookman Old Style" w:hAnsi="Bookman Old Style" w:cs="Times New Roman"/>
      <w:i w:val="0"/>
      <w:iCs w:val="0"/>
      <w:sz w:val="22"/>
      <w:szCs w:val="22"/>
    </w:rPr>
  </w:style>
  <w:style w:type="paragraph" w:styleId="Nagwek">
    <w:name w:val="header"/>
    <w:basedOn w:val="Normalny"/>
    <w:link w:val="NagwekZnak"/>
    <w:uiPriority w:val="99"/>
    <w:rsid w:val="00B83AB7"/>
    <w:pPr>
      <w:tabs>
        <w:tab w:val="center" w:pos="4536"/>
        <w:tab w:val="right" w:pos="9072"/>
      </w:tabs>
    </w:pPr>
  </w:style>
  <w:style w:type="character" w:customStyle="1" w:styleId="NagwekZnak">
    <w:name w:val="Nagłówek Znak"/>
    <w:basedOn w:val="Domylnaczcionkaakapitu"/>
    <w:link w:val="Nagwek"/>
    <w:uiPriority w:val="99"/>
    <w:rsid w:val="007B06FE"/>
  </w:style>
  <w:style w:type="paragraph" w:styleId="Stopka">
    <w:name w:val="footer"/>
    <w:basedOn w:val="Normalny"/>
    <w:link w:val="StopkaZnak"/>
    <w:uiPriority w:val="99"/>
    <w:rsid w:val="00B83AB7"/>
    <w:pPr>
      <w:tabs>
        <w:tab w:val="center" w:pos="4536"/>
        <w:tab w:val="right" w:pos="9072"/>
      </w:tabs>
    </w:pPr>
  </w:style>
  <w:style w:type="character" w:customStyle="1" w:styleId="StopkaZnak">
    <w:name w:val="Stopka Znak"/>
    <w:basedOn w:val="Domylnaczcionkaakapitu"/>
    <w:link w:val="Stopka"/>
    <w:uiPriority w:val="99"/>
    <w:rsid w:val="003F0DCF"/>
  </w:style>
  <w:style w:type="paragraph" w:styleId="Tekstpodstawowywcity">
    <w:name w:val="Body Text Indent"/>
    <w:basedOn w:val="Normalny"/>
    <w:rsid w:val="00CA5393"/>
    <w:pPr>
      <w:spacing w:line="360" w:lineRule="auto"/>
      <w:ind w:firstLine="708"/>
      <w:jc w:val="both"/>
    </w:pPr>
    <w:rPr>
      <w:rFonts w:ascii="Bookman Old Style" w:hAnsi="Bookman Old Style"/>
      <w:sz w:val="24"/>
    </w:rPr>
  </w:style>
  <w:style w:type="character" w:styleId="Numerstrony">
    <w:name w:val="page number"/>
    <w:basedOn w:val="Domylnaczcionkaakapitu"/>
    <w:rsid w:val="00A6678D"/>
  </w:style>
  <w:style w:type="paragraph" w:styleId="Tekstdymka">
    <w:name w:val="Balloon Text"/>
    <w:basedOn w:val="Normalny"/>
    <w:link w:val="TekstdymkaZnak"/>
    <w:uiPriority w:val="99"/>
    <w:rsid w:val="00A8432F"/>
    <w:rPr>
      <w:rFonts w:ascii="Segoe UI" w:hAnsi="Segoe UI" w:cs="Segoe UI"/>
      <w:sz w:val="18"/>
      <w:szCs w:val="18"/>
    </w:rPr>
  </w:style>
  <w:style w:type="character" w:customStyle="1" w:styleId="TekstdymkaZnak">
    <w:name w:val="Tekst dymka Znak"/>
    <w:basedOn w:val="Domylnaczcionkaakapitu"/>
    <w:link w:val="Tekstdymka"/>
    <w:uiPriority w:val="99"/>
    <w:rsid w:val="00A8432F"/>
    <w:rPr>
      <w:rFonts w:ascii="Segoe UI" w:hAnsi="Segoe UI" w:cs="Segoe UI"/>
      <w:sz w:val="18"/>
      <w:szCs w:val="18"/>
    </w:rPr>
  </w:style>
  <w:style w:type="paragraph" w:styleId="Tekstpodstawowy">
    <w:name w:val="Body Text"/>
    <w:basedOn w:val="Normalny"/>
    <w:link w:val="TekstpodstawowyZnak"/>
    <w:rsid w:val="00B45926"/>
    <w:pPr>
      <w:spacing w:after="120"/>
    </w:pPr>
  </w:style>
  <w:style w:type="character" w:customStyle="1" w:styleId="TekstpodstawowyZnak">
    <w:name w:val="Tekst podstawowy Znak"/>
    <w:basedOn w:val="Domylnaczcionkaakapitu"/>
    <w:link w:val="Tekstpodstawowy"/>
    <w:rsid w:val="00B45926"/>
  </w:style>
  <w:style w:type="paragraph" w:styleId="Bezodstpw">
    <w:name w:val="No Spacing"/>
    <w:uiPriority w:val="1"/>
    <w:qFormat/>
    <w:rsid w:val="005F611A"/>
    <w:rPr>
      <w:rFonts w:ascii="Calibri" w:eastAsia="Calibri" w:hAnsi="Calibri"/>
      <w:sz w:val="22"/>
      <w:szCs w:val="22"/>
      <w:lang w:eastAsia="en-US"/>
    </w:rPr>
  </w:style>
  <w:style w:type="paragraph" w:customStyle="1" w:styleId="Default">
    <w:name w:val="Default"/>
    <w:rsid w:val="005F611A"/>
    <w:pPr>
      <w:autoSpaceDE w:val="0"/>
      <w:autoSpaceDN w:val="0"/>
      <w:adjustRightInd w:val="0"/>
    </w:pPr>
    <w:rPr>
      <w:rFonts w:eastAsia="Calibri"/>
      <w:color w:val="000000"/>
      <w:sz w:val="24"/>
      <w:szCs w:val="24"/>
      <w:lang w:eastAsia="en-US"/>
    </w:rPr>
  </w:style>
  <w:style w:type="paragraph" w:styleId="NormalnyWeb">
    <w:name w:val="Normal (Web)"/>
    <w:basedOn w:val="Normalny"/>
    <w:uiPriority w:val="99"/>
    <w:unhideWhenUsed/>
    <w:rsid w:val="000A2A46"/>
    <w:pPr>
      <w:spacing w:before="100" w:beforeAutospacing="1" w:after="100" w:afterAutospacing="1"/>
    </w:pPr>
    <w:rPr>
      <w:sz w:val="24"/>
      <w:szCs w:val="24"/>
    </w:rPr>
  </w:style>
  <w:style w:type="character" w:styleId="Pogrubienie">
    <w:name w:val="Strong"/>
    <w:basedOn w:val="Domylnaczcionkaakapitu"/>
    <w:uiPriority w:val="22"/>
    <w:qFormat/>
    <w:rsid w:val="000A2A46"/>
    <w:rPr>
      <w:b/>
      <w:bCs/>
    </w:rPr>
  </w:style>
  <w:style w:type="character" w:styleId="Uwydatnienie">
    <w:name w:val="Emphasis"/>
    <w:basedOn w:val="Domylnaczcionkaakapitu"/>
    <w:uiPriority w:val="20"/>
    <w:qFormat/>
    <w:rsid w:val="000A2A46"/>
    <w:rPr>
      <w:i/>
      <w:iCs/>
    </w:rPr>
  </w:style>
  <w:style w:type="paragraph" w:styleId="Akapitzlist">
    <w:name w:val="List Paragraph"/>
    <w:aliases w:val="CW_Lista,Akapit z listą BS,normalny tekst,Wypunktowanie"/>
    <w:basedOn w:val="Normalny"/>
    <w:link w:val="AkapitzlistZnak"/>
    <w:qFormat/>
    <w:rsid w:val="00A23452"/>
    <w:pPr>
      <w:ind w:left="720"/>
      <w:contextualSpacing/>
    </w:pPr>
  </w:style>
  <w:style w:type="character" w:customStyle="1" w:styleId="AkapitzlistZnak">
    <w:name w:val="Akapit z listą Znak"/>
    <w:aliases w:val="CW_Lista Znak,Akapit z listą BS Znak,normalny tekst Znak,Wypunktowanie Znak"/>
    <w:link w:val="Akapitzlist"/>
    <w:qFormat/>
    <w:rsid w:val="00A23452"/>
  </w:style>
  <w:style w:type="paragraph" w:styleId="Tekstpodstawowy2">
    <w:name w:val="Body Text 2"/>
    <w:basedOn w:val="Normalny"/>
    <w:link w:val="Tekstpodstawowy2Znak"/>
    <w:unhideWhenUsed/>
    <w:rsid w:val="00302C4F"/>
    <w:pPr>
      <w:suppressAutoHyphens/>
      <w:spacing w:after="120" w:line="480" w:lineRule="auto"/>
    </w:pPr>
    <w:rPr>
      <w:rFonts w:ascii="Calibri" w:eastAsia="Calibri" w:hAnsi="Calibri"/>
      <w:sz w:val="22"/>
      <w:szCs w:val="22"/>
      <w:lang w:eastAsia="zh-CN"/>
    </w:rPr>
  </w:style>
  <w:style w:type="character" w:customStyle="1" w:styleId="Tekstpodstawowy2Znak">
    <w:name w:val="Tekst podstawowy 2 Znak"/>
    <w:basedOn w:val="Domylnaczcionkaakapitu"/>
    <w:link w:val="Tekstpodstawowy2"/>
    <w:rsid w:val="00302C4F"/>
    <w:rPr>
      <w:rFonts w:ascii="Calibri" w:eastAsia="Calibri" w:hAnsi="Calibri"/>
      <w:sz w:val="22"/>
      <w:szCs w:val="22"/>
      <w:lang w:eastAsia="zh-CN"/>
    </w:rPr>
  </w:style>
  <w:style w:type="paragraph" w:styleId="Zwykytekst">
    <w:name w:val="Plain Text"/>
    <w:basedOn w:val="Normalny"/>
    <w:link w:val="ZwykytekstZnak"/>
    <w:uiPriority w:val="99"/>
    <w:unhideWhenUsed/>
    <w:rsid w:val="00450184"/>
    <w:rPr>
      <w:rFonts w:ascii="Calibri" w:hAnsi="Calibri" w:cs="Calibri"/>
      <w:sz w:val="22"/>
      <w:szCs w:val="22"/>
      <w:lang w:eastAsia="en-US"/>
    </w:rPr>
  </w:style>
  <w:style w:type="character" w:customStyle="1" w:styleId="ZwykytekstZnak">
    <w:name w:val="Zwykły tekst Znak"/>
    <w:basedOn w:val="Domylnaczcionkaakapitu"/>
    <w:link w:val="Zwykytekst"/>
    <w:uiPriority w:val="99"/>
    <w:rsid w:val="00450184"/>
    <w:rPr>
      <w:rFonts w:ascii="Calibri" w:hAnsi="Calibri" w:cs="Calibri"/>
      <w:sz w:val="22"/>
      <w:szCs w:val="22"/>
      <w:lang w:eastAsia="en-US"/>
    </w:rPr>
  </w:style>
  <w:style w:type="character" w:customStyle="1" w:styleId="TekstkomentarzaZnak">
    <w:name w:val="Tekst komentarza Znak"/>
    <w:basedOn w:val="Domylnaczcionkaakapitu"/>
    <w:link w:val="Tekstkomentarza"/>
    <w:uiPriority w:val="99"/>
    <w:rsid w:val="007B06FE"/>
    <w:rPr>
      <w:rFonts w:asciiTheme="minorHAnsi" w:eastAsiaTheme="minorHAnsi" w:hAnsiTheme="minorHAnsi" w:cstheme="minorBidi"/>
      <w:lang w:eastAsia="en-US"/>
    </w:rPr>
  </w:style>
  <w:style w:type="paragraph" w:styleId="Tekstkomentarza">
    <w:name w:val="annotation text"/>
    <w:basedOn w:val="Normalny"/>
    <w:link w:val="TekstkomentarzaZnak"/>
    <w:uiPriority w:val="99"/>
    <w:unhideWhenUsed/>
    <w:rsid w:val="007B06FE"/>
    <w:pPr>
      <w:spacing w:after="160"/>
    </w:pPr>
    <w:rPr>
      <w:rFonts w:asciiTheme="minorHAnsi" w:eastAsiaTheme="minorHAnsi" w:hAnsiTheme="minorHAnsi" w:cstheme="minorBidi"/>
      <w:lang w:eastAsia="en-US"/>
    </w:rPr>
  </w:style>
  <w:style w:type="character" w:customStyle="1" w:styleId="TematkomentarzaZnak">
    <w:name w:val="Temat komentarza Znak"/>
    <w:basedOn w:val="TekstkomentarzaZnak"/>
    <w:link w:val="Tematkomentarza"/>
    <w:uiPriority w:val="99"/>
    <w:semiHidden/>
    <w:rsid w:val="007B06FE"/>
    <w:rPr>
      <w:rFonts w:asciiTheme="minorHAnsi" w:eastAsiaTheme="minorHAnsi" w:hAnsiTheme="minorHAnsi" w:cstheme="minorBidi"/>
      <w:b/>
      <w:bCs/>
      <w:lang w:eastAsia="en-US"/>
    </w:rPr>
  </w:style>
  <w:style w:type="paragraph" w:styleId="Tematkomentarza">
    <w:name w:val="annotation subject"/>
    <w:basedOn w:val="Tekstkomentarza"/>
    <w:next w:val="Tekstkomentarza"/>
    <w:link w:val="TematkomentarzaZnak"/>
    <w:uiPriority w:val="99"/>
    <w:semiHidden/>
    <w:unhideWhenUsed/>
    <w:rsid w:val="007B06FE"/>
    <w:rPr>
      <w:b/>
      <w:bCs/>
    </w:rPr>
  </w:style>
  <w:style w:type="character" w:styleId="Hipercze">
    <w:name w:val="Hyperlink"/>
    <w:basedOn w:val="Domylnaczcionkaakapitu"/>
    <w:uiPriority w:val="99"/>
    <w:unhideWhenUsed/>
    <w:rsid w:val="007B06FE"/>
    <w:rPr>
      <w:color w:val="1155CC"/>
      <w:u w:val="single"/>
    </w:rPr>
  </w:style>
  <w:style w:type="table" w:styleId="Tabela-Siatka">
    <w:name w:val="Table Grid"/>
    <w:basedOn w:val="Standardowy"/>
    <w:uiPriority w:val="39"/>
    <w:rsid w:val="0093178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A56F61"/>
    <w:pPr>
      <w:spacing w:before="100" w:beforeAutospacing="1" w:after="100" w:afterAutospacing="1"/>
    </w:pPr>
    <w:rPr>
      <w:sz w:val="24"/>
      <w:szCs w:val="24"/>
    </w:rPr>
  </w:style>
  <w:style w:type="character" w:customStyle="1" w:styleId="normaltextrun">
    <w:name w:val="normaltextrun"/>
    <w:basedOn w:val="Domylnaczcionkaakapitu"/>
    <w:rsid w:val="00A56F61"/>
  </w:style>
  <w:style w:type="character" w:customStyle="1" w:styleId="spellingerror">
    <w:name w:val="spellingerror"/>
    <w:basedOn w:val="Domylnaczcionkaakapitu"/>
    <w:rsid w:val="00A56F61"/>
  </w:style>
  <w:style w:type="character" w:customStyle="1" w:styleId="eop">
    <w:name w:val="eop"/>
    <w:basedOn w:val="Domylnaczcionkaakapitu"/>
    <w:rsid w:val="00A56F61"/>
  </w:style>
  <w:style w:type="character" w:customStyle="1" w:styleId="contextualspellingandgrammarerror">
    <w:name w:val="contextualspellingandgrammarerror"/>
    <w:basedOn w:val="Domylnaczcionkaakapitu"/>
    <w:rsid w:val="00A56F61"/>
  </w:style>
  <w:style w:type="character" w:customStyle="1" w:styleId="fontstyle01">
    <w:name w:val="fontstyle01"/>
    <w:basedOn w:val="Domylnaczcionkaakapitu"/>
    <w:rsid w:val="00791526"/>
    <w:rPr>
      <w:rFonts w:ascii="SegoeUI-Light" w:hAnsi="SegoeUI-Light" w:hint="default"/>
      <w:b w:val="0"/>
      <w:bCs w:val="0"/>
      <w:i w:val="0"/>
      <w:iCs w:val="0"/>
      <w:color w:val="000000"/>
      <w:sz w:val="22"/>
      <w:szCs w:val="22"/>
    </w:rPr>
  </w:style>
  <w:style w:type="character" w:customStyle="1" w:styleId="fontstyle21">
    <w:name w:val="fontstyle21"/>
    <w:basedOn w:val="Domylnaczcionkaakapitu"/>
    <w:rsid w:val="00D3251F"/>
    <w:rPr>
      <w:rFonts w:ascii="Raleway-Regular" w:hAnsi="Raleway-Regular" w:hint="default"/>
      <w:b w:val="0"/>
      <w:bCs w:val="0"/>
      <w:i w:val="0"/>
      <w:iCs w:val="0"/>
      <w:color w:val="000000"/>
      <w:sz w:val="20"/>
      <w:szCs w:val="20"/>
    </w:rPr>
  </w:style>
  <w:style w:type="character" w:customStyle="1" w:styleId="fontstyle31">
    <w:name w:val="fontstyle31"/>
    <w:basedOn w:val="Domylnaczcionkaakapitu"/>
    <w:rsid w:val="00D3251F"/>
    <w:rPr>
      <w:rFonts w:ascii="Raleway-Italic" w:hAnsi="Raleway-Italic" w:hint="default"/>
      <w:b w:val="0"/>
      <w:bCs w:val="0"/>
      <w:i/>
      <w:iCs/>
      <w:color w:val="000000"/>
      <w:sz w:val="20"/>
      <w:szCs w:val="20"/>
    </w:rPr>
  </w:style>
  <w:style w:type="character" w:styleId="Odwoaniedokomentarza">
    <w:name w:val="annotation reference"/>
    <w:basedOn w:val="Domylnaczcionkaakapitu"/>
    <w:uiPriority w:val="9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086">
      <w:bodyDiv w:val="1"/>
      <w:marLeft w:val="0"/>
      <w:marRight w:val="0"/>
      <w:marTop w:val="0"/>
      <w:marBottom w:val="0"/>
      <w:divBdr>
        <w:top w:val="none" w:sz="0" w:space="0" w:color="auto"/>
        <w:left w:val="none" w:sz="0" w:space="0" w:color="auto"/>
        <w:bottom w:val="none" w:sz="0" w:space="0" w:color="auto"/>
        <w:right w:val="none" w:sz="0" w:space="0" w:color="auto"/>
      </w:divBdr>
      <w:divsChild>
        <w:div w:id="1139685857">
          <w:marLeft w:val="0"/>
          <w:marRight w:val="0"/>
          <w:marTop w:val="0"/>
          <w:marBottom w:val="0"/>
          <w:divBdr>
            <w:top w:val="none" w:sz="0" w:space="0" w:color="auto"/>
            <w:left w:val="none" w:sz="0" w:space="0" w:color="auto"/>
            <w:bottom w:val="none" w:sz="0" w:space="0" w:color="auto"/>
            <w:right w:val="none" w:sz="0" w:space="0" w:color="auto"/>
          </w:divBdr>
        </w:div>
      </w:divsChild>
    </w:div>
    <w:div w:id="47727508">
      <w:bodyDiv w:val="1"/>
      <w:marLeft w:val="0"/>
      <w:marRight w:val="0"/>
      <w:marTop w:val="0"/>
      <w:marBottom w:val="0"/>
      <w:divBdr>
        <w:top w:val="none" w:sz="0" w:space="0" w:color="auto"/>
        <w:left w:val="none" w:sz="0" w:space="0" w:color="auto"/>
        <w:bottom w:val="none" w:sz="0" w:space="0" w:color="auto"/>
        <w:right w:val="none" w:sz="0" w:space="0" w:color="auto"/>
      </w:divBdr>
    </w:div>
    <w:div w:id="60714567">
      <w:bodyDiv w:val="1"/>
      <w:marLeft w:val="0"/>
      <w:marRight w:val="0"/>
      <w:marTop w:val="0"/>
      <w:marBottom w:val="0"/>
      <w:divBdr>
        <w:top w:val="none" w:sz="0" w:space="0" w:color="auto"/>
        <w:left w:val="none" w:sz="0" w:space="0" w:color="auto"/>
        <w:bottom w:val="none" w:sz="0" w:space="0" w:color="auto"/>
        <w:right w:val="none" w:sz="0" w:space="0" w:color="auto"/>
      </w:divBdr>
    </w:div>
    <w:div w:id="66538696">
      <w:bodyDiv w:val="1"/>
      <w:marLeft w:val="0"/>
      <w:marRight w:val="0"/>
      <w:marTop w:val="0"/>
      <w:marBottom w:val="0"/>
      <w:divBdr>
        <w:top w:val="none" w:sz="0" w:space="0" w:color="auto"/>
        <w:left w:val="none" w:sz="0" w:space="0" w:color="auto"/>
        <w:bottom w:val="none" w:sz="0" w:space="0" w:color="auto"/>
        <w:right w:val="none" w:sz="0" w:space="0" w:color="auto"/>
      </w:divBdr>
    </w:div>
    <w:div w:id="67197349">
      <w:bodyDiv w:val="1"/>
      <w:marLeft w:val="0"/>
      <w:marRight w:val="0"/>
      <w:marTop w:val="0"/>
      <w:marBottom w:val="0"/>
      <w:divBdr>
        <w:top w:val="none" w:sz="0" w:space="0" w:color="auto"/>
        <w:left w:val="none" w:sz="0" w:space="0" w:color="auto"/>
        <w:bottom w:val="none" w:sz="0" w:space="0" w:color="auto"/>
        <w:right w:val="none" w:sz="0" w:space="0" w:color="auto"/>
      </w:divBdr>
      <w:divsChild>
        <w:div w:id="674768492">
          <w:marLeft w:val="0"/>
          <w:marRight w:val="0"/>
          <w:marTop w:val="0"/>
          <w:marBottom w:val="0"/>
          <w:divBdr>
            <w:top w:val="none" w:sz="0" w:space="0" w:color="auto"/>
            <w:left w:val="none" w:sz="0" w:space="0" w:color="auto"/>
            <w:bottom w:val="none" w:sz="0" w:space="0" w:color="auto"/>
            <w:right w:val="none" w:sz="0" w:space="0" w:color="auto"/>
          </w:divBdr>
        </w:div>
      </w:divsChild>
    </w:div>
    <w:div w:id="67652209">
      <w:bodyDiv w:val="1"/>
      <w:marLeft w:val="0"/>
      <w:marRight w:val="0"/>
      <w:marTop w:val="0"/>
      <w:marBottom w:val="0"/>
      <w:divBdr>
        <w:top w:val="none" w:sz="0" w:space="0" w:color="auto"/>
        <w:left w:val="none" w:sz="0" w:space="0" w:color="auto"/>
        <w:bottom w:val="none" w:sz="0" w:space="0" w:color="auto"/>
        <w:right w:val="none" w:sz="0" w:space="0" w:color="auto"/>
      </w:divBdr>
    </w:div>
    <w:div w:id="79957936">
      <w:bodyDiv w:val="1"/>
      <w:marLeft w:val="0"/>
      <w:marRight w:val="0"/>
      <w:marTop w:val="0"/>
      <w:marBottom w:val="0"/>
      <w:divBdr>
        <w:top w:val="none" w:sz="0" w:space="0" w:color="auto"/>
        <w:left w:val="none" w:sz="0" w:space="0" w:color="auto"/>
        <w:bottom w:val="none" w:sz="0" w:space="0" w:color="auto"/>
        <w:right w:val="none" w:sz="0" w:space="0" w:color="auto"/>
      </w:divBdr>
      <w:divsChild>
        <w:div w:id="13268383">
          <w:marLeft w:val="0"/>
          <w:marRight w:val="0"/>
          <w:marTop w:val="0"/>
          <w:marBottom w:val="0"/>
          <w:divBdr>
            <w:top w:val="none" w:sz="0" w:space="0" w:color="auto"/>
            <w:left w:val="none" w:sz="0" w:space="0" w:color="auto"/>
            <w:bottom w:val="none" w:sz="0" w:space="0" w:color="auto"/>
            <w:right w:val="none" w:sz="0" w:space="0" w:color="auto"/>
          </w:divBdr>
        </w:div>
      </w:divsChild>
    </w:div>
    <w:div w:id="101607594">
      <w:bodyDiv w:val="1"/>
      <w:marLeft w:val="0"/>
      <w:marRight w:val="0"/>
      <w:marTop w:val="0"/>
      <w:marBottom w:val="0"/>
      <w:divBdr>
        <w:top w:val="none" w:sz="0" w:space="0" w:color="auto"/>
        <w:left w:val="none" w:sz="0" w:space="0" w:color="auto"/>
        <w:bottom w:val="none" w:sz="0" w:space="0" w:color="auto"/>
        <w:right w:val="none" w:sz="0" w:space="0" w:color="auto"/>
      </w:divBdr>
      <w:divsChild>
        <w:div w:id="1959942948">
          <w:marLeft w:val="0"/>
          <w:marRight w:val="0"/>
          <w:marTop w:val="0"/>
          <w:marBottom w:val="0"/>
          <w:divBdr>
            <w:top w:val="none" w:sz="0" w:space="0" w:color="auto"/>
            <w:left w:val="none" w:sz="0" w:space="0" w:color="auto"/>
            <w:bottom w:val="none" w:sz="0" w:space="0" w:color="auto"/>
            <w:right w:val="none" w:sz="0" w:space="0" w:color="auto"/>
          </w:divBdr>
        </w:div>
        <w:div w:id="616107873">
          <w:marLeft w:val="0"/>
          <w:marRight w:val="0"/>
          <w:marTop w:val="0"/>
          <w:marBottom w:val="0"/>
          <w:divBdr>
            <w:top w:val="none" w:sz="0" w:space="0" w:color="auto"/>
            <w:left w:val="none" w:sz="0" w:space="0" w:color="auto"/>
            <w:bottom w:val="none" w:sz="0" w:space="0" w:color="auto"/>
            <w:right w:val="none" w:sz="0" w:space="0" w:color="auto"/>
          </w:divBdr>
        </w:div>
      </w:divsChild>
    </w:div>
    <w:div w:id="110975987">
      <w:bodyDiv w:val="1"/>
      <w:marLeft w:val="0"/>
      <w:marRight w:val="0"/>
      <w:marTop w:val="0"/>
      <w:marBottom w:val="0"/>
      <w:divBdr>
        <w:top w:val="none" w:sz="0" w:space="0" w:color="auto"/>
        <w:left w:val="none" w:sz="0" w:space="0" w:color="auto"/>
        <w:bottom w:val="none" w:sz="0" w:space="0" w:color="auto"/>
        <w:right w:val="none" w:sz="0" w:space="0" w:color="auto"/>
      </w:divBdr>
      <w:divsChild>
        <w:div w:id="2056000784">
          <w:marLeft w:val="0"/>
          <w:marRight w:val="0"/>
          <w:marTop w:val="0"/>
          <w:marBottom w:val="0"/>
          <w:divBdr>
            <w:top w:val="none" w:sz="0" w:space="0" w:color="auto"/>
            <w:left w:val="none" w:sz="0" w:space="0" w:color="auto"/>
            <w:bottom w:val="none" w:sz="0" w:space="0" w:color="auto"/>
            <w:right w:val="none" w:sz="0" w:space="0" w:color="auto"/>
          </w:divBdr>
        </w:div>
      </w:divsChild>
    </w:div>
    <w:div w:id="184441267">
      <w:bodyDiv w:val="1"/>
      <w:marLeft w:val="0"/>
      <w:marRight w:val="0"/>
      <w:marTop w:val="0"/>
      <w:marBottom w:val="0"/>
      <w:divBdr>
        <w:top w:val="none" w:sz="0" w:space="0" w:color="auto"/>
        <w:left w:val="none" w:sz="0" w:space="0" w:color="auto"/>
        <w:bottom w:val="none" w:sz="0" w:space="0" w:color="auto"/>
        <w:right w:val="none" w:sz="0" w:space="0" w:color="auto"/>
      </w:divBdr>
    </w:div>
    <w:div w:id="215049997">
      <w:bodyDiv w:val="1"/>
      <w:marLeft w:val="0"/>
      <w:marRight w:val="0"/>
      <w:marTop w:val="0"/>
      <w:marBottom w:val="0"/>
      <w:divBdr>
        <w:top w:val="none" w:sz="0" w:space="0" w:color="auto"/>
        <w:left w:val="none" w:sz="0" w:space="0" w:color="auto"/>
        <w:bottom w:val="none" w:sz="0" w:space="0" w:color="auto"/>
        <w:right w:val="none" w:sz="0" w:space="0" w:color="auto"/>
      </w:divBdr>
      <w:divsChild>
        <w:div w:id="1343970514">
          <w:marLeft w:val="0"/>
          <w:marRight w:val="0"/>
          <w:marTop w:val="0"/>
          <w:marBottom w:val="0"/>
          <w:divBdr>
            <w:top w:val="none" w:sz="0" w:space="0" w:color="auto"/>
            <w:left w:val="none" w:sz="0" w:space="0" w:color="auto"/>
            <w:bottom w:val="none" w:sz="0" w:space="0" w:color="auto"/>
            <w:right w:val="none" w:sz="0" w:space="0" w:color="auto"/>
          </w:divBdr>
        </w:div>
      </w:divsChild>
    </w:div>
    <w:div w:id="264071125">
      <w:bodyDiv w:val="1"/>
      <w:marLeft w:val="0"/>
      <w:marRight w:val="0"/>
      <w:marTop w:val="0"/>
      <w:marBottom w:val="0"/>
      <w:divBdr>
        <w:top w:val="none" w:sz="0" w:space="0" w:color="auto"/>
        <w:left w:val="none" w:sz="0" w:space="0" w:color="auto"/>
        <w:bottom w:val="none" w:sz="0" w:space="0" w:color="auto"/>
        <w:right w:val="none" w:sz="0" w:space="0" w:color="auto"/>
      </w:divBdr>
      <w:divsChild>
        <w:div w:id="1044451029">
          <w:marLeft w:val="0"/>
          <w:marRight w:val="0"/>
          <w:marTop w:val="0"/>
          <w:marBottom w:val="0"/>
          <w:divBdr>
            <w:top w:val="none" w:sz="0" w:space="0" w:color="auto"/>
            <w:left w:val="none" w:sz="0" w:space="0" w:color="auto"/>
            <w:bottom w:val="none" w:sz="0" w:space="0" w:color="auto"/>
            <w:right w:val="none" w:sz="0" w:space="0" w:color="auto"/>
          </w:divBdr>
        </w:div>
      </w:divsChild>
    </w:div>
    <w:div w:id="327951593">
      <w:bodyDiv w:val="1"/>
      <w:marLeft w:val="0"/>
      <w:marRight w:val="0"/>
      <w:marTop w:val="0"/>
      <w:marBottom w:val="0"/>
      <w:divBdr>
        <w:top w:val="none" w:sz="0" w:space="0" w:color="auto"/>
        <w:left w:val="none" w:sz="0" w:space="0" w:color="auto"/>
        <w:bottom w:val="none" w:sz="0" w:space="0" w:color="auto"/>
        <w:right w:val="none" w:sz="0" w:space="0" w:color="auto"/>
      </w:divBdr>
      <w:divsChild>
        <w:div w:id="1142620404">
          <w:marLeft w:val="0"/>
          <w:marRight w:val="0"/>
          <w:marTop w:val="0"/>
          <w:marBottom w:val="0"/>
          <w:divBdr>
            <w:top w:val="none" w:sz="0" w:space="0" w:color="auto"/>
            <w:left w:val="none" w:sz="0" w:space="0" w:color="auto"/>
            <w:bottom w:val="none" w:sz="0" w:space="0" w:color="auto"/>
            <w:right w:val="none" w:sz="0" w:space="0" w:color="auto"/>
          </w:divBdr>
        </w:div>
      </w:divsChild>
    </w:div>
    <w:div w:id="412706536">
      <w:bodyDiv w:val="1"/>
      <w:marLeft w:val="0"/>
      <w:marRight w:val="0"/>
      <w:marTop w:val="0"/>
      <w:marBottom w:val="0"/>
      <w:divBdr>
        <w:top w:val="none" w:sz="0" w:space="0" w:color="auto"/>
        <w:left w:val="none" w:sz="0" w:space="0" w:color="auto"/>
        <w:bottom w:val="none" w:sz="0" w:space="0" w:color="auto"/>
        <w:right w:val="none" w:sz="0" w:space="0" w:color="auto"/>
      </w:divBdr>
      <w:divsChild>
        <w:div w:id="544101392">
          <w:marLeft w:val="0"/>
          <w:marRight w:val="0"/>
          <w:marTop w:val="0"/>
          <w:marBottom w:val="0"/>
          <w:divBdr>
            <w:top w:val="none" w:sz="0" w:space="0" w:color="auto"/>
            <w:left w:val="none" w:sz="0" w:space="0" w:color="auto"/>
            <w:bottom w:val="none" w:sz="0" w:space="0" w:color="auto"/>
            <w:right w:val="none" w:sz="0" w:space="0" w:color="auto"/>
          </w:divBdr>
        </w:div>
      </w:divsChild>
    </w:div>
    <w:div w:id="418721073">
      <w:bodyDiv w:val="1"/>
      <w:marLeft w:val="0"/>
      <w:marRight w:val="0"/>
      <w:marTop w:val="0"/>
      <w:marBottom w:val="0"/>
      <w:divBdr>
        <w:top w:val="none" w:sz="0" w:space="0" w:color="auto"/>
        <w:left w:val="none" w:sz="0" w:space="0" w:color="auto"/>
        <w:bottom w:val="none" w:sz="0" w:space="0" w:color="auto"/>
        <w:right w:val="none" w:sz="0" w:space="0" w:color="auto"/>
      </w:divBdr>
    </w:div>
    <w:div w:id="420103741">
      <w:bodyDiv w:val="1"/>
      <w:marLeft w:val="0"/>
      <w:marRight w:val="0"/>
      <w:marTop w:val="0"/>
      <w:marBottom w:val="0"/>
      <w:divBdr>
        <w:top w:val="none" w:sz="0" w:space="0" w:color="auto"/>
        <w:left w:val="none" w:sz="0" w:space="0" w:color="auto"/>
        <w:bottom w:val="none" w:sz="0" w:space="0" w:color="auto"/>
        <w:right w:val="none" w:sz="0" w:space="0" w:color="auto"/>
      </w:divBdr>
    </w:div>
    <w:div w:id="447822037">
      <w:bodyDiv w:val="1"/>
      <w:marLeft w:val="0"/>
      <w:marRight w:val="0"/>
      <w:marTop w:val="0"/>
      <w:marBottom w:val="0"/>
      <w:divBdr>
        <w:top w:val="none" w:sz="0" w:space="0" w:color="auto"/>
        <w:left w:val="none" w:sz="0" w:space="0" w:color="auto"/>
        <w:bottom w:val="none" w:sz="0" w:space="0" w:color="auto"/>
        <w:right w:val="none" w:sz="0" w:space="0" w:color="auto"/>
      </w:divBdr>
    </w:div>
    <w:div w:id="449520735">
      <w:bodyDiv w:val="1"/>
      <w:marLeft w:val="0"/>
      <w:marRight w:val="0"/>
      <w:marTop w:val="0"/>
      <w:marBottom w:val="0"/>
      <w:divBdr>
        <w:top w:val="none" w:sz="0" w:space="0" w:color="auto"/>
        <w:left w:val="none" w:sz="0" w:space="0" w:color="auto"/>
        <w:bottom w:val="none" w:sz="0" w:space="0" w:color="auto"/>
        <w:right w:val="none" w:sz="0" w:space="0" w:color="auto"/>
      </w:divBdr>
      <w:divsChild>
        <w:div w:id="1323894903">
          <w:marLeft w:val="0"/>
          <w:marRight w:val="0"/>
          <w:marTop w:val="0"/>
          <w:marBottom w:val="0"/>
          <w:divBdr>
            <w:top w:val="none" w:sz="0" w:space="0" w:color="auto"/>
            <w:left w:val="none" w:sz="0" w:space="0" w:color="auto"/>
            <w:bottom w:val="none" w:sz="0" w:space="0" w:color="auto"/>
            <w:right w:val="none" w:sz="0" w:space="0" w:color="auto"/>
          </w:divBdr>
        </w:div>
        <w:div w:id="1237670574">
          <w:marLeft w:val="0"/>
          <w:marRight w:val="0"/>
          <w:marTop w:val="0"/>
          <w:marBottom w:val="0"/>
          <w:divBdr>
            <w:top w:val="none" w:sz="0" w:space="0" w:color="auto"/>
            <w:left w:val="none" w:sz="0" w:space="0" w:color="auto"/>
            <w:bottom w:val="none" w:sz="0" w:space="0" w:color="auto"/>
            <w:right w:val="none" w:sz="0" w:space="0" w:color="auto"/>
          </w:divBdr>
        </w:div>
        <w:div w:id="2048136157">
          <w:marLeft w:val="0"/>
          <w:marRight w:val="0"/>
          <w:marTop w:val="0"/>
          <w:marBottom w:val="0"/>
          <w:divBdr>
            <w:top w:val="none" w:sz="0" w:space="0" w:color="auto"/>
            <w:left w:val="none" w:sz="0" w:space="0" w:color="auto"/>
            <w:bottom w:val="none" w:sz="0" w:space="0" w:color="auto"/>
            <w:right w:val="none" w:sz="0" w:space="0" w:color="auto"/>
          </w:divBdr>
        </w:div>
      </w:divsChild>
    </w:div>
    <w:div w:id="470097256">
      <w:bodyDiv w:val="1"/>
      <w:marLeft w:val="0"/>
      <w:marRight w:val="0"/>
      <w:marTop w:val="0"/>
      <w:marBottom w:val="0"/>
      <w:divBdr>
        <w:top w:val="none" w:sz="0" w:space="0" w:color="auto"/>
        <w:left w:val="none" w:sz="0" w:space="0" w:color="auto"/>
        <w:bottom w:val="none" w:sz="0" w:space="0" w:color="auto"/>
        <w:right w:val="none" w:sz="0" w:space="0" w:color="auto"/>
      </w:divBdr>
      <w:divsChild>
        <w:div w:id="1119370882">
          <w:marLeft w:val="0"/>
          <w:marRight w:val="0"/>
          <w:marTop w:val="0"/>
          <w:marBottom w:val="0"/>
          <w:divBdr>
            <w:top w:val="none" w:sz="0" w:space="0" w:color="auto"/>
            <w:left w:val="none" w:sz="0" w:space="0" w:color="auto"/>
            <w:bottom w:val="none" w:sz="0" w:space="0" w:color="auto"/>
            <w:right w:val="none" w:sz="0" w:space="0" w:color="auto"/>
          </w:divBdr>
        </w:div>
      </w:divsChild>
    </w:div>
    <w:div w:id="536548219">
      <w:bodyDiv w:val="1"/>
      <w:marLeft w:val="0"/>
      <w:marRight w:val="0"/>
      <w:marTop w:val="0"/>
      <w:marBottom w:val="0"/>
      <w:divBdr>
        <w:top w:val="none" w:sz="0" w:space="0" w:color="auto"/>
        <w:left w:val="none" w:sz="0" w:space="0" w:color="auto"/>
        <w:bottom w:val="none" w:sz="0" w:space="0" w:color="auto"/>
        <w:right w:val="none" w:sz="0" w:space="0" w:color="auto"/>
      </w:divBdr>
      <w:divsChild>
        <w:div w:id="900403749">
          <w:marLeft w:val="0"/>
          <w:marRight w:val="0"/>
          <w:marTop w:val="0"/>
          <w:marBottom w:val="0"/>
          <w:divBdr>
            <w:top w:val="none" w:sz="0" w:space="0" w:color="auto"/>
            <w:left w:val="none" w:sz="0" w:space="0" w:color="auto"/>
            <w:bottom w:val="none" w:sz="0" w:space="0" w:color="auto"/>
            <w:right w:val="none" w:sz="0" w:space="0" w:color="auto"/>
          </w:divBdr>
        </w:div>
      </w:divsChild>
    </w:div>
    <w:div w:id="573978352">
      <w:bodyDiv w:val="1"/>
      <w:marLeft w:val="0"/>
      <w:marRight w:val="0"/>
      <w:marTop w:val="0"/>
      <w:marBottom w:val="0"/>
      <w:divBdr>
        <w:top w:val="none" w:sz="0" w:space="0" w:color="auto"/>
        <w:left w:val="none" w:sz="0" w:space="0" w:color="auto"/>
        <w:bottom w:val="none" w:sz="0" w:space="0" w:color="auto"/>
        <w:right w:val="none" w:sz="0" w:space="0" w:color="auto"/>
      </w:divBdr>
      <w:divsChild>
        <w:div w:id="1383139059">
          <w:marLeft w:val="0"/>
          <w:marRight w:val="0"/>
          <w:marTop w:val="0"/>
          <w:marBottom w:val="0"/>
          <w:divBdr>
            <w:top w:val="none" w:sz="0" w:space="0" w:color="auto"/>
            <w:left w:val="none" w:sz="0" w:space="0" w:color="auto"/>
            <w:bottom w:val="none" w:sz="0" w:space="0" w:color="auto"/>
            <w:right w:val="none" w:sz="0" w:space="0" w:color="auto"/>
          </w:divBdr>
        </w:div>
      </w:divsChild>
    </w:div>
    <w:div w:id="575169084">
      <w:bodyDiv w:val="1"/>
      <w:marLeft w:val="0"/>
      <w:marRight w:val="0"/>
      <w:marTop w:val="0"/>
      <w:marBottom w:val="0"/>
      <w:divBdr>
        <w:top w:val="none" w:sz="0" w:space="0" w:color="auto"/>
        <w:left w:val="none" w:sz="0" w:space="0" w:color="auto"/>
        <w:bottom w:val="none" w:sz="0" w:space="0" w:color="auto"/>
        <w:right w:val="none" w:sz="0" w:space="0" w:color="auto"/>
      </w:divBdr>
    </w:div>
    <w:div w:id="634794028">
      <w:bodyDiv w:val="1"/>
      <w:marLeft w:val="0"/>
      <w:marRight w:val="0"/>
      <w:marTop w:val="0"/>
      <w:marBottom w:val="0"/>
      <w:divBdr>
        <w:top w:val="none" w:sz="0" w:space="0" w:color="auto"/>
        <w:left w:val="none" w:sz="0" w:space="0" w:color="auto"/>
        <w:bottom w:val="none" w:sz="0" w:space="0" w:color="auto"/>
        <w:right w:val="none" w:sz="0" w:space="0" w:color="auto"/>
      </w:divBdr>
      <w:divsChild>
        <w:div w:id="316611796">
          <w:marLeft w:val="0"/>
          <w:marRight w:val="0"/>
          <w:marTop w:val="0"/>
          <w:marBottom w:val="0"/>
          <w:divBdr>
            <w:top w:val="none" w:sz="0" w:space="0" w:color="auto"/>
            <w:left w:val="none" w:sz="0" w:space="0" w:color="auto"/>
            <w:bottom w:val="none" w:sz="0" w:space="0" w:color="auto"/>
            <w:right w:val="none" w:sz="0" w:space="0" w:color="auto"/>
          </w:divBdr>
        </w:div>
        <w:div w:id="1863203715">
          <w:marLeft w:val="0"/>
          <w:marRight w:val="0"/>
          <w:marTop w:val="0"/>
          <w:marBottom w:val="0"/>
          <w:divBdr>
            <w:top w:val="none" w:sz="0" w:space="0" w:color="auto"/>
            <w:left w:val="none" w:sz="0" w:space="0" w:color="auto"/>
            <w:bottom w:val="none" w:sz="0" w:space="0" w:color="auto"/>
            <w:right w:val="none" w:sz="0" w:space="0" w:color="auto"/>
          </w:divBdr>
        </w:div>
      </w:divsChild>
    </w:div>
    <w:div w:id="660280597">
      <w:bodyDiv w:val="1"/>
      <w:marLeft w:val="0"/>
      <w:marRight w:val="0"/>
      <w:marTop w:val="0"/>
      <w:marBottom w:val="0"/>
      <w:divBdr>
        <w:top w:val="none" w:sz="0" w:space="0" w:color="auto"/>
        <w:left w:val="none" w:sz="0" w:space="0" w:color="auto"/>
        <w:bottom w:val="none" w:sz="0" w:space="0" w:color="auto"/>
        <w:right w:val="none" w:sz="0" w:space="0" w:color="auto"/>
      </w:divBdr>
    </w:div>
    <w:div w:id="755251110">
      <w:bodyDiv w:val="1"/>
      <w:marLeft w:val="0"/>
      <w:marRight w:val="0"/>
      <w:marTop w:val="0"/>
      <w:marBottom w:val="0"/>
      <w:divBdr>
        <w:top w:val="none" w:sz="0" w:space="0" w:color="auto"/>
        <w:left w:val="none" w:sz="0" w:space="0" w:color="auto"/>
        <w:bottom w:val="none" w:sz="0" w:space="0" w:color="auto"/>
        <w:right w:val="none" w:sz="0" w:space="0" w:color="auto"/>
      </w:divBdr>
      <w:divsChild>
        <w:div w:id="362751510">
          <w:marLeft w:val="0"/>
          <w:marRight w:val="0"/>
          <w:marTop w:val="0"/>
          <w:marBottom w:val="0"/>
          <w:divBdr>
            <w:top w:val="none" w:sz="0" w:space="0" w:color="auto"/>
            <w:left w:val="none" w:sz="0" w:space="0" w:color="auto"/>
            <w:bottom w:val="none" w:sz="0" w:space="0" w:color="auto"/>
            <w:right w:val="none" w:sz="0" w:space="0" w:color="auto"/>
          </w:divBdr>
        </w:div>
      </w:divsChild>
    </w:div>
    <w:div w:id="757602612">
      <w:bodyDiv w:val="1"/>
      <w:marLeft w:val="0"/>
      <w:marRight w:val="0"/>
      <w:marTop w:val="0"/>
      <w:marBottom w:val="0"/>
      <w:divBdr>
        <w:top w:val="none" w:sz="0" w:space="0" w:color="auto"/>
        <w:left w:val="none" w:sz="0" w:space="0" w:color="auto"/>
        <w:bottom w:val="none" w:sz="0" w:space="0" w:color="auto"/>
        <w:right w:val="none" w:sz="0" w:space="0" w:color="auto"/>
      </w:divBdr>
      <w:divsChild>
        <w:div w:id="1444694145">
          <w:marLeft w:val="0"/>
          <w:marRight w:val="0"/>
          <w:marTop w:val="0"/>
          <w:marBottom w:val="0"/>
          <w:divBdr>
            <w:top w:val="none" w:sz="0" w:space="0" w:color="auto"/>
            <w:left w:val="none" w:sz="0" w:space="0" w:color="auto"/>
            <w:bottom w:val="none" w:sz="0" w:space="0" w:color="auto"/>
            <w:right w:val="none" w:sz="0" w:space="0" w:color="auto"/>
          </w:divBdr>
        </w:div>
        <w:div w:id="231544628">
          <w:marLeft w:val="0"/>
          <w:marRight w:val="0"/>
          <w:marTop w:val="0"/>
          <w:marBottom w:val="0"/>
          <w:divBdr>
            <w:top w:val="none" w:sz="0" w:space="0" w:color="auto"/>
            <w:left w:val="none" w:sz="0" w:space="0" w:color="auto"/>
            <w:bottom w:val="none" w:sz="0" w:space="0" w:color="auto"/>
            <w:right w:val="none" w:sz="0" w:space="0" w:color="auto"/>
          </w:divBdr>
        </w:div>
      </w:divsChild>
    </w:div>
    <w:div w:id="822812556">
      <w:bodyDiv w:val="1"/>
      <w:marLeft w:val="0"/>
      <w:marRight w:val="0"/>
      <w:marTop w:val="0"/>
      <w:marBottom w:val="0"/>
      <w:divBdr>
        <w:top w:val="none" w:sz="0" w:space="0" w:color="auto"/>
        <w:left w:val="none" w:sz="0" w:space="0" w:color="auto"/>
        <w:bottom w:val="none" w:sz="0" w:space="0" w:color="auto"/>
        <w:right w:val="none" w:sz="0" w:space="0" w:color="auto"/>
      </w:divBdr>
    </w:div>
    <w:div w:id="826047782">
      <w:bodyDiv w:val="1"/>
      <w:marLeft w:val="0"/>
      <w:marRight w:val="0"/>
      <w:marTop w:val="0"/>
      <w:marBottom w:val="0"/>
      <w:divBdr>
        <w:top w:val="none" w:sz="0" w:space="0" w:color="auto"/>
        <w:left w:val="none" w:sz="0" w:space="0" w:color="auto"/>
        <w:bottom w:val="none" w:sz="0" w:space="0" w:color="auto"/>
        <w:right w:val="none" w:sz="0" w:space="0" w:color="auto"/>
      </w:divBdr>
      <w:divsChild>
        <w:div w:id="245305667">
          <w:marLeft w:val="0"/>
          <w:marRight w:val="0"/>
          <w:marTop w:val="0"/>
          <w:marBottom w:val="0"/>
          <w:divBdr>
            <w:top w:val="none" w:sz="0" w:space="0" w:color="auto"/>
            <w:left w:val="none" w:sz="0" w:space="0" w:color="auto"/>
            <w:bottom w:val="none" w:sz="0" w:space="0" w:color="auto"/>
            <w:right w:val="none" w:sz="0" w:space="0" w:color="auto"/>
          </w:divBdr>
        </w:div>
      </w:divsChild>
    </w:div>
    <w:div w:id="849835842">
      <w:bodyDiv w:val="1"/>
      <w:marLeft w:val="0"/>
      <w:marRight w:val="0"/>
      <w:marTop w:val="0"/>
      <w:marBottom w:val="0"/>
      <w:divBdr>
        <w:top w:val="none" w:sz="0" w:space="0" w:color="auto"/>
        <w:left w:val="none" w:sz="0" w:space="0" w:color="auto"/>
        <w:bottom w:val="none" w:sz="0" w:space="0" w:color="auto"/>
        <w:right w:val="none" w:sz="0" w:space="0" w:color="auto"/>
      </w:divBdr>
      <w:divsChild>
        <w:div w:id="332414988">
          <w:marLeft w:val="0"/>
          <w:marRight w:val="0"/>
          <w:marTop w:val="0"/>
          <w:marBottom w:val="0"/>
          <w:divBdr>
            <w:top w:val="none" w:sz="0" w:space="0" w:color="auto"/>
            <w:left w:val="none" w:sz="0" w:space="0" w:color="auto"/>
            <w:bottom w:val="none" w:sz="0" w:space="0" w:color="auto"/>
            <w:right w:val="none" w:sz="0" w:space="0" w:color="auto"/>
          </w:divBdr>
        </w:div>
      </w:divsChild>
    </w:div>
    <w:div w:id="917444104">
      <w:bodyDiv w:val="1"/>
      <w:marLeft w:val="0"/>
      <w:marRight w:val="0"/>
      <w:marTop w:val="0"/>
      <w:marBottom w:val="0"/>
      <w:divBdr>
        <w:top w:val="none" w:sz="0" w:space="0" w:color="auto"/>
        <w:left w:val="none" w:sz="0" w:space="0" w:color="auto"/>
        <w:bottom w:val="none" w:sz="0" w:space="0" w:color="auto"/>
        <w:right w:val="none" w:sz="0" w:space="0" w:color="auto"/>
      </w:divBdr>
      <w:divsChild>
        <w:div w:id="311716766">
          <w:marLeft w:val="0"/>
          <w:marRight w:val="0"/>
          <w:marTop w:val="0"/>
          <w:marBottom w:val="0"/>
          <w:divBdr>
            <w:top w:val="none" w:sz="0" w:space="0" w:color="auto"/>
            <w:left w:val="none" w:sz="0" w:space="0" w:color="auto"/>
            <w:bottom w:val="none" w:sz="0" w:space="0" w:color="auto"/>
            <w:right w:val="none" w:sz="0" w:space="0" w:color="auto"/>
          </w:divBdr>
        </w:div>
      </w:divsChild>
    </w:div>
    <w:div w:id="996566319">
      <w:bodyDiv w:val="1"/>
      <w:marLeft w:val="0"/>
      <w:marRight w:val="0"/>
      <w:marTop w:val="0"/>
      <w:marBottom w:val="0"/>
      <w:divBdr>
        <w:top w:val="none" w:sz="0" w:space="0" w:color="auto"/>
        <w:left w:val="none" w:sz="0" w:space="0" w:color="auto"/>
        <w:bottom w:val="none" w:sz="0" w:space="0" w:color="auto"/>
        <w:right w:val="none" w:sz="0" w:space="0" w:color="auto"/>
      </w:divBdr>
      <w:divsChild>
        <w:div w:id="1873223103">
          <w:marLeft w:val="0"/>
          <w:marRight w:val="0"/>
          <w:marTop w:val="0"/>
          <w:marBottom w:val="0"/>
          <w:divBdr>
            <w:top w:val="none" w:sz="0" w:space="0" w:color="auto"/>
            <w:left w:val="none" w:sz="0" w:space="0" w:color="auto"/>
            <w:bottom w:val="none" w:sz="0" w:space="0" w:color="auto"/>
            <w:right w:val="none" w:sz="0" w:space="0" w:color="auto"/>
          </w:divBdr>
        </w:div>
      </w:divsChild>
    </w:div>
    <w:div w:id="1039356818">
      <w:bodyDiv w:val="1"/>
      <w:marLeft w:val="0"/>
      <w:marRight w:val="0"/>
      <w:marTop w:val="0"/>
      <w:marBottom w:val="0"/>
      <w:divBdr>
        <w:top w:val="none" w:sz="0" w:space="0" w:color="auto"/>
        <w:left w:val="none" w:sz="0" w:space="0" w:color="auto"/>
        <w:bottom w:val="none" w:sz="0" w:space="0" w:color="auto"/>
        <w:right w:val="none" w:sz="0" w:space="0" w:color="auto"/>
      </w:divBdr>
      <w:divsChild>
        <w:div w:id="107435316">
          <w:marLeft w:val="0"/>
          <w:marRight w:val="0"/>
          <w:marTop w:val="0"/>
          <w:marBottom w:val="0"/>
          <w:divBdr>
            <w:top w:val="none" w:sz="0" w:space="0" w:color="auto"/>
            <w:left w:val="none" w:sz="0" w:space="0" w:color="auto"/>
            <w:bottom w:val="none" w:sz="0" w:space="0" w:color="auto"/>
            <w:right w:val="none" w:sz="0" w:space="0" w:color="auto"/>
          </w:divBdr>
        </w:div>
      </w:divsChild>
    </w:div>
    <w:div w:id="1040782410">
      <w:bodyDiv w:val="1"/>
      <w:marLeft w:val="0"/>
      <w:marRight w:val="0"/>
      <w:marTop w:val="0"/>
      <w:marBottom w:val="0"/>
      <w:divBdr>
        <w:top w:val="none" w:sz="0" w:space="0" w:color="auto"/>
        <w:left w:val="none" w:sz="0" w:space="0" w:color="auto"/>
        <w:bottom w:val="none" w:sz="0" w:space="0" w:color="auto"/>
        <w:right w:val="none" w:sz="0" w:space="0" w:color="auto"/>
      </w:divBdr>
      <w:divsChild>
        <w:div w:id="2076975271">
          <w:marLeft w:val="0"/>
          <w:marRight w:val="0"/>
          <w:marTop w:val="0"/>
          <w:marBottom w:val="0"/>
          <w:divBdr>
            <w:top w:val="none" w:sz="0" w:space="0" w:color="auto"/>
            <w:left w:val="none" w:sz="0" w:space="0" w:color="auto"/>
            <w:bottom w:val="none" w:sz="0" w:space="0" w:color="auto"/>
            <w:right w:val="none" w:sz="0" w:space="0" w:color="auto"/>
          </w:divBdr>
        </w:div>
      </w:divsChild>
    </w:div>
    <w:div w:id="1051346052">
      <w:bodyDiv w:val="1"/>
      <w:marLeft w:val="0"/>
      <w:marRight w:val="0"/>
      <w:marTop w:val="0"/>
      <w:marBottom w:val="0"/>
      <w:divBdr>
        <w:top w:val="none" w:sz="0" w:space="0" w:color="auto"/>
        <w:left w:val="none" w:sz="0" w:space="0" w:color="auto"/>
        <w:bottom w:val="none" w:sz="0" w:space="0" w:color="auto"/>
        <w:right w:val="none" w:sz="0" w:space="0" w:color="auto"/>
      </w:divBdr>
      <w:divsChild>
        <w:div w:id="1498308099">
          <w:marLeft w:val="0"/>
          <w:marRight w:val="0"/>
          <w:marTop w:val="0"/>
          <w:marBottom w:val="0"/>
          <w:divBdr>
            <w:top w:val="none" w:sz="0" w:space="0" w:color="auto"/>
            <w:left w:val="none" w:sz="0" w:space="0" w:color="auto"/>
            <w:bottom w:val="none" w:sz="0" w:space="0" w:color="auto"/>
            <w:right w:val="none" w:sz="0" w:space="0" w:color="auto"/>
          </w:divBdr>
        </w:div>
      </w:divsChild>
    </w:div>
    <w:div w:id="1052734578">
      <w:bodyDiv w:val="1"/>
      <w:marLeft w:val="0"/>
      <w:marRight w:val="0"/>
      <w:marTop w:val="0"/>
      <w:marBottom w:val="0"/>
      <w:divBdr>
        <w:top w:val="none" w:sz="0" w:space="0" w:color="auto"/>
        <w:left w:val="none" w:sz="0" w:space="0" w:color="auto"/>
        <w:bottom w:val="none" w:sz="0" w:space="0" w:color="auto"/>
        <w:right w:val="none" w:sz="0" w:space="0" w:color="auto"/>
      </w:divBdr>
    </w:div>
    <w:div w:id="1056928595">
      <w:bodyDiv w:val="1"/>
      <w:marLeft w:val="0"/>
      <w:marRight w:val="0"/>
      <w:marTop w:val="0"/>
      <w:marBottom w:val="0"/>
      <w:divBdr>
        <w:top w:val="none" w:sz="0" w:space="0" w:color="auto"/>
        <w:left w:val="none" w:sz="0" w:space="0" w:color="auto"/>
        <w:bottom w:val="none" w:sz="0" w:space="0" w:color="auto"/>
        <w:right w:val="none" w:sz="0" w:space="0" w:color="auto"/>
      </w:divBdr>
      <w:divsChild>
        <w:div w:id="1707949569">
          <w:marLeft w:val="0"/>
          <w:marRight w:val="0"/>
          <w:marTop w:val="0"/>
          <w:marBottom w:val="0"/>
          <w:divBdr>
            <w:top w:val="none" w:sz="0" w:space="0" w:color="auto"/>
            <w:left w:val="none" w:sz="0" w:space="0" w:color="auto"/>
            <w:bottom w:val="none" w:sz="0" w:space="0" w:color="auto"/>
            <w:right w:val="none" w:sz="0" w:space="0" w:color="auto"/>
          </w:divBdr>
        </w:div>
      </w:divsChild>
    </w:div>
    <w:div w:id="1074936285">
      <w:bodyDiv w:val="1"/>
      <w:marLeft w:val="0"/>
      <w:marRight w:val="0"/>
      <w:marTop w:val="0"/>
      <w:marBottom w:val="0"/>
      <w:divBdr>
        <w:top w:val="none" w:sz="0" w:space="0" w:color="auto"/>
        <w:left w:val="none" w:sz="0" w:space="0" w:color="auto"/>
        <w:bottom w:val="none" w:sz="0" w:space="0" w:color="auto"/>
        <w:right w:val="none" w:sz="0" w:space="0" w:color="auto"/>
      </w:divBdr>
      <w:divsChild>
        <w:div w:id="1053850684">
          <w:marLeft w:val="0"/>
          <w:marRight w:val="0"/>
          <w:marTop w:val="0"/>
          <w:marBottom w:val="0"/>
          <w:divBdr>
            <w:top w:val="none" w:sz="0" w:space="0" w:color="auto"/>
            <w:left w:val="none" w:sz="0" w:space="0" w:color="auto"/>
            <w:bottom w:val="none" w:sz="0" w:space="0" w:color="auto"/>
            <w:right w:val="none" w:sz="0" w:space="0" w:color="auto"/>
          </w:divBdr>
        </w:div>
      </w:divsChild>
    </w:div>
    <w:div w:id="1181429134">
      <w:bodyDiv w:val="1"/>
      <w:marLeft w:val="0"/>
      <w:marRight w:val="0"/>
      <w:marTop w:val="0"/>
      <w:marBottom w:val="0"/>
      <w:divBdr>
        <w:top w:val="none" w:sz="0" w:space="0" w:color="auto"/>
        <w:left w:val="none" w:sz="0" w:space="0" w:color="auto"/>
        <w:bottom w:val="none" w:sz="0" w:space="0" w:color="auto"/>
        <w:right w:val="none" w:sz="0" w:space="0" w:color="auto"/>
      </w:divBdr>
      <w:divsChild>
        <w:div w:id="874544729">
          <w:marLeft w:val="0"/>
          <w:marRight w:val="0"/>
          <w:marTop w:val="0"/>
          <w:marBottom w:val="0"/>
          <w:divBdr>
            <w:top w:val="none" w:sz="0" w:space="0" w:color="auto"/>
            <w:left w:val="none" w:sz="0" w:space="0" w:color="auto"/>
            <w:bottom w:val="none" w:sz="0" w:space="0" w:color="auto"/>
            <w:right w:val="none" w:sz="0" w:space="0" w:color="auto"/>
          </w:divBdr>
        </w:div>
      </w:divsChild>
    </w:div>
    <w:div w:id="1183592207">
      <w:bodyDiv w:val="1"/>
      <w:marLeft w:val="0"/>
      <w:marRight w:val="0"/>
      <w:marTop w:val="0"/>
      <w:marBottom w:val="0"/>
      <w:divBdr>
        <w:top w:val="none" w:sz="0" w:space="0" w:color="auto"/>
        <w:left w:val="none" w:sz="0" w:space="0" w:color="auto"/>
        <w:bottom w:val="none" w:sz="0" w:space="0" w:color="auto"/>
        <w:right w:val="none" w:sz="0" w:space="0" w:color="auto"/>
      </w:divBdr>
      <w:divsChild>
        <w:div w:id="1740131175">
          <w:marLeft w:val="0"/>
          <w:marRight w:val="0"/>
          <w:marTop w:val="0"/>
          <w:marBottom w:val="0"/>
          <w:divBdr>
            <w:top w:val="none" w:sz="0" w:space="0" w:color="auto"/>
            <w:left w:val="none" w:sz="0" w:space="0" w:color="auto"/>
            <w:bottom w:val="none" w:sz="0" w:space="0" w:color="auto"/>
            <w:right w:val="none" w:sz="0" w:space="0" w:color="auto"/>
          </w:divBdr>
        </w:div>
      </w:divsChild>
    </w:div>
    <w:div w:id="1196236892">
      <w:bodyDiv w:val="1"/>
      <w:marLeft w:val="0"/>
      <w:marRight w:val="0"/>
      <w:marTop w:val="0"/>
      <w:marBottom w:val="0"/>
      <w:divBdr>
        <w:top w:val="none" w:sz="0" w:space="0" w:color="auto"/>
        <w:left w:val="none" w:sz="0" w:space="0" w:color="auto"/>
        <w:bottom w:val="none" w:sz="0" w:space="0" w:color="auto"/>
        <w:right w:val="none" w:sz="0" w:space="0" w:color="auto"/>
      </w:divBdr>
      <w:divsChild>
        <w:div w:id="1451894458">
          <w:marLeft w:val="0"/>
          <w:marRight w:val="0"/>
          <w:marTop w:val="0"/>
          <w:marBottom w:val="0"/>
          <w:divBdr>
            <w:top w:val="none" w:sz="0" w:space="0" w:color="auto"/>
            <w:left w:val="none" w:sz="0" w:space="0" w:color="auto"/>
            <w:bottom w:val="none" w:sz="0" w:space="0" w:color="auto"/>
            <w:right w:val="none" w:sz="0" w:space="0" w:color="auto"/>
          </w:divBdr>
        </w:div>
      </w:divsChild>
    </w:div>
    <w:div w:id="1267736106">
      <w:bodyDiv w:val="1"/>
      <w:marLeft w:val="0"/>
      <w:marRight w:val="0"/>
      <w:marTop w:val="0"/>
      <w:marBottom w:val="0"/>
      <w:divBdr>
        <w:top w:val="none" w:sz="0" w:space="0" w:color="auto"/>
        <w:left w:val="none" w:sz="0" w:space="0" w:color="auto"/>
        <w:bottom w:val="none" w:sz="0" w:space="0" w:color="auto"/>
        <w:right w:val="none" w:sz="0" w:space="0" w:color="auto"/>
      </w:divBdr>
      <w:divsChild>
        <w:div w:id="58096460">
          <w:marLeft w:val="0"/>
          <w:marRight w:val="0"/>
          <w:marTop w:val="0"/>
          <w:marBottom w:val="0"/>
          <w:divBdr>
            <w:top w:val="none" w:sz="0" w:space="0" w:color="auto"/>
            <w:left w:val="none" w:sz="0" w:space="0" w:color="auto"/>
            <w:bottom w:val="none" w:sz="0" w:space="0" w:color="auto"/>
            <w:right w:val="none" w:sz="0" w:space="0" w:color="auto"/>
          </w:divBdr>
        </w:div>
      </w:divsChild>
    </w:div>
    <w:div w:id="1299073284">
      <w:bodyDiv w:val="1"/>
      <w:marLeft w:val="0"/>
      <w:marRight w:val="0"/>
      <w:marTop w:val="0"/>
      <w:marBottom w:val="0"/>
      <w:divBdr>
        <w:top w:val="none" w:sz="0" w:space="0" w:color="auto"/>
        <w:left w:val="none" w:sz="0" w:space="0" w:color="auto"/>
        <w:bottom w:val="none" w:sz="0" w:space="0" w:color="auto"/>
        <w:right w:val="none" w:sz="0" w:space="0" w:color="auto"/>
      </w:divBdr>
    </w:div>
    <w:div w:id="1307470938">
      <w:bodyDiv w:val="1"/>
      <w:marLeft w:val="0"/>
      <w:marRight w:val="0"/>
      <w:marTop w:val="0"/>
      <w:marBottom w:val="0"/>
      <w:divBdr>
        <w:top w:val="none" w:sz="0" w:space="0" w:color="auto"/>
        <w:left w:val="none" w:sz="0" w:space="0" w:color="auto"/>
        <w:bottom w:val="none" w:sz="0" w:space="0" w:color="auto"/>
        <w:right w:val="none" w:sz="0" w:space="0" w:color="auto"/>
      </w:divBdr>
      <w:divsChild>
        <w:div w:id="735471598">
          <w:marLeft w:val="0"/>
          <w:marRight w:val="0"/>
          <w:marTop w:val="0"/>
          <w:marBottom w:val="0"/>
          <w:divBdr>
            <w:top w:val="none" w:sz="0" w:space="0" w:color="auto"/>
            <w:left w:val="none" w:sz="0" w:space="0" w:color="auto"/>
            <w:bottom w:val="none" w:sz="0" w:space="0" w:color="auto"/>
            <w:right w:val="none" w:sz="0" w:space="0" w:color="auto"/>
          </w:divBdr>
        </w:div>
      </w:divsChild>
    </w:div>
    <w:div w:id="1319193537">
      <w:bodyDiv w:val="1"/>
      <w:marLeft w:val="0"/>
      <w:marRight w:val="0"/>
      <w:marTop w:val="0"/>
      <w:marBottom w:val="0"/>
      <w:divBdr>
        <w:top w:val="none" w:sz="0" w:space="0" w:color="auto"/>
        <w:left w:val="none" w:sz="0" w:space="0" w:color="auto"/>
        <w:bottom w:val="none" w:sz="0" w:space="0" w:color="auto"/>
        <w:right w:val="none" w:sz="0" w:space="0" w:color="auto"/>
      </w:divBdr>
      <w:divsChild>
        <w:div w:id="277025625">
          <w:marLeft w:val="0"/>
          <w:marRight w:val="0"/>
          <w:marTop w:val="0"/>
          <w:marBottom w:val="0"/>
          <w:divBdr>
            <w:top w:val="none" w:sz="0" w:space="0" w:color="auto"/>
            <w:left w:val="none" w:sz="0" w:space="0" w:color="auto"/>
            <w:bottom w:val="none" w:sz="0" w:space="0" w:color="auto"/>
            <w:right w:val="none" w:sz="0" w:space="0" w:color="auto"/>
          </w:divBdr>
        </w:div>
      </w:divsChild>
    </w:div>
    <w:div w:id="1364287890">
      <w:bodyDiv w:val="1"/>
      <w:marLeft w:val="0"/>
      <w:marRight w:val="0"/>
      <w:marTop w:val="0"/>
      <w:marBottom w:val="0"/>
      <w:divBdr>
        <w:top w:val="none" w:sz="0" w:space="0" w:color="auto"/>
        <w:left w:val="none" w:sz="0" w:space="0" w:color="auto"/>
        <w:bottom w:val="none" w:sz="0" w:space="0" w:color="auto"/>
        <w:right w:val="none" w:sz="0" w:space="0" w:color="auto"/>
      </w:divBdr>
      <w:divsChild>
        <w:div w:id="1212184566">
          <w:marLeft w:val="0"/>
          <w:marRight w:val="0"/>
          <w:marTop w:val="0"/>
          <w:marBottom w:val="0"/>
          <w:divBdr>
            <w:top w:val="none" w:sz="0" w:space="0" w:color="auto"/>
            <w:left w:val="none" w:sz="0" w:space="0" w:color="auto"/>
            <w:bottom w:val="none" w:sz="0" w:space="0" w:color="auto"/>
            <w:right w:val="none" w:sz="0" w:space="0" w:color="auto"/>
          </w:divBdr>
        </w:div>
      </w:divsChild>
    </w:div>
    <w:div w:id="1418477255">
      <w:bodyDiv w:val="1"/>
      <w:marLeft w:val="0"/>
      <w:marRight w:val="0"/>
      <w:marTop w:val="0"/>
      <w:marBottom w:val="0"/>
      <w:divBdr>
        <w:top w:val="none" w:sz="0" w:space="0" w:color="auto"/>
        <w:left w:val="none" w:sz="0" w:space="0" w:color="auto"/>
        <w:bottom w:val="none" w:sz="0" w:space="0" w:color="auto"/>
        <w:right w:val="none" w:sz="0" w:space="0" w:color="auto"/>
      </w:divBdr>
      <w:divsChild>
        <w:div w:id="606278025">
          <w:marLeft w:val="0"/>
          <w:marRight w:val="0"/>
          <w:marTop w:val="0"/>
          <w:marBottom w:val="0"/>
          <w:divBdr>
            <w:top w:val="none" w:sz="0" w:space="0" w:color="auto"/>
            <w:left w:val="none" w:sz="0" w:space="0" w:color="auto"/>
            <w:bottom w:val="none" w:sz="0" w:space="0" w:color="auto"/>
            <w:right w:val="none" w:sz="0" w:space="0" w:color="auto"/>
          </w:divBdr>
        </w:div>
      </w:divsChild>
    </w:div>
    <w:div w:id="1429428697">
      <w:bodyDiv w:val="1"/>
      <w:marLeft w:val="0"/>
      <w:marRight w:val="0"/>
      <w:marTop w:val="0"/>
      <w:marBottom w:val="0"/>
      <w:divBdr>
        <w:top w:val="none" w:sz="0" w:space="0" w:color="auto"/>
        <w:left w:val="none" w:sz="0" w:space="0" w:color="auto"/>
        <w:bottom w:val="none" w:sz="0" w:space="0" w:color="auto"/>
        <w:right w:val="none" w:sz="0" w:space="0" w:color="auto"/>
      </w:divBdr>
      <w:divsChild>
        <w:div w:id="1128552630">
          <w:marLeft w:val="0"/>
          <w:marRight w:val="0"/>
          <w:marTop w:val="0"/>
          <w:marBottom w:val="0"/>
          <w:divBdr>
            <w:top w:val="none" w:sz="0" w:space="0" w:color="auto"/>
            <w:left w:val="none" w:sz="0" w:space="0" w:color="auto"/>
            <w:bottom w:val="none" w:sz="0" w:space="0" w:color="auto"/>
            <w:right w:val="none" w:sz="0" w:space="0" w:color="auto"/>
          </w:divBdr>
        </w:div>
      </w:divsChild>
    </w:div>
    <w:div w:id="1442729056">
      <w:bodyDiv w:val="1"/>
      <w:marLeft w:val="0"/>
      <w:marRight w:val="0"/>
      <w:marTop w:val="0"/>
      <w:marBottom w:val="0"/>
      <w:divBdr>
        <w:top w:val="none" w:sz="0" w:space="0" w:color="auto"/>
        <w:left w:val="none" w:sz="0" w:space="0" w:color="auto"/>
        <w:bottom w:val="none" w:sz="0" w:space="0" w:color="auto"/>
        <w:right w:val="none" w:sz="0" w:space="0" w:color="auto"/>
      </w:divBdr>
    </w:div>
    <w:div w:id="1444183280">
      <w:bodyDiv w:val="1"/>
      <w:marLeft w:val="0"/>
      <w:marRight w:val="0"/>
      <w:marTop w:val="0"/>
      <w:marBottom w:val="0"/>
      <w:divBdr>
        <w:top w:val="none" w:sz="0" w:space="0" w:color="auto"/>
        <w:left w:val="none" w:sz="0" w:space="0" w:color="auto"/>
        <w:bottom w:val="none" w:sz="0" w:space="0" w:color="auto"/>
        <w:right w:val="none" w:sz="0" w:space="0" w:color="auto"/>
      </w:divBdr>
    </w:div>
    <w:div w:id="1459228114">
      <w:bodyDiv w:val="1"/>
      <w:marLeft w:val="0"/>
      <w:marRight w:val="0"/>
      <w:marTop w:val="0"/>
      <w:marBottom w:val="0"/>
      <w:divBdr>
        <w:top w:val="none" w:sz="0" w:space="0" w:color="auto"/>
        <w:left w:val="none" w:sz="0" w:space="0" w:color="auto"/>
        <w:bottom w:val="none" w:sz="0" w:space="0" w:color="auto"/>
        <w:right w:val="none" w:sz="0" w:space="0" w:color="auto"/>
      </w:divBdr>
    </w:div>
    <w:div w:id="1491796635">
      <w:bodyDiv w:val="1"/>
      <w:marLeft w:val="0"/>
      <w:marRight w:val="0"/>
      <w:marTop w:val="0"/>
      <w:marBottom w:val="0"/>
      <w:divBdr>
        <w:top w:val="none" w:sz="0" w:space="0" w:color="auto"/>
        <w:left w:val="none" w:sz="0" w:space="0" w:color="auto"/>
        <w:bottom w:val="none" w:sz="0" w:space="0" w:color="auto"/>
        <w:right w:val="none" w:sz="0" w:space="0" w:color="auto"/>
      </w:divBdr>
    </w:div>
    <w:div w:id="1565528896">
      <w:bodyDiv w:val="1"/>
      <w:marLeft w:val="0"/>
      <w:marRight w:val="0"/>
      <w:marTop w:val="0"/>
      <w:marBottom w:val="0"/>
      <w:divBdr>
        <w:top w:val="none" w:sz="0" w:space="0" w:color="auto"/>
        <w:left w:val="none" w:sz="0" w:space="0" w:color="auto"/>
        <w:bottom w:val="none" w:sz="0" w:space="0" w:color="auto"/>
        <w:right w:val="none" w:sz="0" w:space="0" w:color="auto"/>
      </w:divBdr>
    </w:div>
    <w:div w:id="1612933963">
      <w:bodyDiv w:val="1"/>
      <w:marLeft w:val="0"/>
      <w:marRight w:val="0"/>
      <w:marTop w:val="0"/>
      <w:marBottom w:val="0"/>
      <w:divBdr>
        <w:top w:val="none" w:sz="0" w:space="0" w:color="auto"/>
        <w:left w:val="none" w:sz="0" w:space="0" w:color="auto"/>
        <w:bottom w:val="none" w:sz="0" w:space="0" w:color="auto"/>
        <w:right w:val="none" w:sz="0" w:space="0" w:color="auto"/>
      </w:divBdr>
      <w:divsChild>
        <w:div w:id="1129126089">
          <w:marLeft w:val="0"/>
          <w:marRight w:val="0"/>
          <w:marTop w:val="0"/>
          <w:marBottom w:val="0"/>
          <w:divBdr>
            <w:top w:val="none" w:sz="0" w:space="0" w:color="auto"/>
            <w:left w:val="none" w:sz="0" w:space="0" w:color="auto"/>
            <w:bottom w:val="none" w:sz="0" w:space="0" w:color="auto"/>
            <w:right w:val="none" w:sz="0" w:space="0" w:color="auto"/>
          </w:divBdr>
        </w:div>
      </w:divsChild>
    </w:div>
    <w:div w:id="1666400882">
      <w:bodyDiv w:val="1"/>
      <w:marLeft w:val="0"/>
      <w:marRight w:val="0"/>
      <w:marTop w:val="0"/>
      <w:marBottom w:val="0"/>
      <w:divBdr>
        <w:top w:val="none" w:sz="0" w:space="0" w:color="auto"/>
        <w:left w:val="none" w:sz="0" w:space="0" w:color="auto"/>
        <w:bottom w:val="none" w:sz="0" w:space="0" w:color="auto"/>
        <w:right w:val="none" w:sz="0" w:space="0" w:color="auto"/>
      </w:divBdr>
      <w:divsChild>
        <w:div w:id="954168884">
          <w:marLeft w:val="0"/>
          <w:marRight w:val="0"/>
          <w:marTop w:val="0"/>
          <w:marBottom w:val="0"/>
          <w:divBdr>
            <w:top w:val="none" w:sz="0" w:space="0" w:color="auto"/>
            <w:left w:val="none" w:sz="0" w:space="0" w:color="auto"/>
            <w:bottom w:val="none" w:sz="0" w:space="0" w:color="auto"/>
            <w:right w:val="none" w:sz="0" w:space="0" w:color="auto"/>
          </w:divBdr>
        </w:div>
      </w:divsChild>
    </w:div>
    <w:div w:id="1693334885">
      <w:bodyDiv w:val="1"/>
      <w:marLeft w:val="0"/>
      <w:marRight w:val="0"/>
      <w:marTop w:val="0"/>
      <w:marBottom w:val="0"/>
      <w:divBdr>
        <w:top w:val="none" w:sz="0" w:space="0" w:color="auto"/>
        <w:left w:val="none" w:sz="0" w:space="0" w:color="auto"/>
        <w:bottom w:val="none" w:sz="0" w:space="0" w:color="auto"/>
        <w:right w:val="none" w:sz="0" w:space="0" w:color="auto"/>
      </w:divBdr>
      <w:divsChild>
        <w:div w:id="969359540">
          <w:marLeft w:val="0"/>
          <w:marRight w:val="0"/>
          <w:marTop w:val="0"/>
          <w:marBottom w:val="0"/>
          <w:divBdr>
            <w:top w:val="none" w:sz="0" w:space="0" w:color="auto"/>
            <w:left w:val="none" w:sz="0" w:space="0" w:color="auto"/>
            <w:bottom w:val="none" w:sz="0" w:space="0" w:color="auto"/>
            <w:right w:val="none" w:sz="0" w:space="0" w:color="auto"/>
          </w:divBdr>
        </w:div>
      </w:divsChild>
    </w:div>
    <w:div w:id="1717394419">
      <w:bodyDiv w:val="1"/>
      <w:marLeft w:val="0"/>
      <w:marRight w:val="0"/>
      <w:marTop w:val="0"/>
      <w:marBottom w:val="0"/>
      <w:divBdr>
        <w:top w:val="none" w:sz="0" w:space="0" w:color="auto"/>
        <w:left w:val="none" w:sz="0" w:space="0" w:color="auto"/>
        <w:bottom w:val="none" w:sz="0" w:space="0" w:color="auto"/>
        <w:right w:val="none" w:sz="0" w:space="0" w:color="auto"/>
      </w:divBdr>
      <w:divsChild>
        <w:div w:id="157767225">
          <w:marLeft w:val="0"/>
          <w:marRight w:val="0"/>
          <w:marTop w:val="0"/>
          <w:marBottom w:val="0"/>
          <w:divBdr>
            <w:top w:val="none" w:sz="0" w:space="0" w:color="auto"/>
            <w:left w:val="none" w:sz="0" w:space="0" w:color="auto"/>
            <w:bottom w:val="none" w:sz="0" w:space="0" w:color="auto"/>
            <w:right w:val="none" w:sz="0" w:space="0" w:color="auto"/>
          </w:divBdr>
        </w:div>
      </w:divsChild>
    </w:div>
    <w:div w:id="1734160303">
      <w:bodyDiv w:val="1"/>
      <w:marLeft w:val="0"/>
      <w:marRight w:val="0"/>
      <w:marTop w:val="0"/>
      <w:marBottom w:val="0"/>
      <w:divBdr>
        <w:top w:val="none" w:sz="0" w:space="0" w:color="auto"/>
        <w:left w:val="none" w:sz="0" w:space="0" w:color="auto"/>
        <w:bottom w:val="none" w:sz="0" w:space="0" w:color="auto"/>
        <w:right w:val="none" w:sz="0" w:space="0" w:color="auto"/>
      </w:divBdr>
      <w:divsChild>
        <w:div w:id="1756974815">
          <w:marLeft w:val="0"/>
          <w:marRight w:val="0"/>
          <w:marTop w:val="0"/>
          <w:marBottom w:val="0"/>
          <w:divBdr>
            <w:top w:val="none" w:sz="0" w:space="0" w:color="auto"/>
            <w:left w:val="none" w:sz="0" w:space="0" w:color="auto"/>
            <w:bottom w:val="none" w:sz="0" w:space="0" w:color="auto"/>
            <w:right w:val="none" w:sz="0" w:space="0" w:color="auto"/>
          </w:divBdr>
        </w:div>
      </w:divsChild>
    </w:div>
    <w:div w:id="1783720418">
      <w:bodyDiv w:val="1"/>
      <w:marLeft w:val="0"/>
      <w:marRight w:val="0"/>
      <w:marTop w:val="0"/>
      <w:marBottom w:val="0"/>
      <w:divBdr>
        <w:top w:val="none" w:sz="0" w:space="0" w:color="auto"/>
        <w:left w:val="none" w:sz="0" w:space="0" w:color="auto"/>
        <w:bottom w:val="none" w:sz="0" w:space="0" w:color="auto"/>
        <w:right w:val="none" w:sz="0" w:space="0" w:color="auto"/>
      </w:divBdr>
      <w:divsChild>
        <w:div w:id="359555505">
          <w:marLeft w:val="0"/>
          <w:marRight w:val="0"/>
          <w:marTop w:val="0"/>
          <w:marBottom w:val="0"/>
          <w:divBdr>
            <w:top w:val="none" w:sz="0" w:space="0" w:color="auto"/>
            <w:left w:val="none" w:sz="0" w:space="0" w:color="auto"/>
            <w:bottom w:val="none" w:sz="0" w:space="0" w:color="auto"/>
            <w:right w:val="none" w:sz="0" w:space="0" w:color="auto"/>
          </w:divBdr>
        </w:div>
      </w:divsChild>
    </w:div>
    <w:div w:id="1790851352">
      <w:bodyDiv w:val="1"/>
      <w:marLeft w:val="0"/>
      <w:marRight w:val="0"/>
      <w:marTop w:val="0"/>
      <w:marBottom w:val="0"/>
      <w:divBdr>
        <w:top w:val="none" w:sz="0" w:space="0" w:color="auto"/>
        <w:left w:val="none" w:sz="0" w:space="0" w:color="auto"/>
        <w:bottom w:val="none" w:sz="0" w:space="0" w:color="auto"/>
        <w:right w:val="none" w:sz="0" w:space="0" w:color="auto"/>
      </w:divBdr>
    </w:div>
    <w:div w:id="1795951059">
      <w:bodyDiv w:val="1"/>
      <w:marLeft w:val="0"/>
      <w:marRight w:val="0"/>
      <w:marTop w:val="0"/>
      <w:marBottom w:val="0"/>
      <w:divBdr>
        <w:top w:val="none" w:sz="0" w:space="0" w:color="auto"/>
        <w:left w:val="none" w:sz="0" w:space="0" w:color="auto"/>
        <w:bottom w:val="none" w:sz="0" w:space="0" w:color="auto"/>
        <w:right w:val="none" w:sz="0" w:space="0" w:color="auto"/>
      </w:divBdr>
      <w:divsChild>
        <w:div w:id="499466971">
          <w:marLeft w:val="0"/>
          <w:marRight w:val="0"/>
          <w:marTop w:val="0"/>
          <w:marBottom w:val="0"/>
          <w:divBdr>
            <w:top w:val="none" w:sz="0" w:space="0" w:color="auto"/>
            <w:left w:val="none" w:sz="0" w:space="0" w:color="auto"/>
            <w:bottom w:val="none" w:sz="0" w:space="0" w:color="auto"/>
            <w:right w:val="none" w:sz="0" w:space="0" w:color="auto"/>
          </w:divBdr>
        </w:div>
      </w:divsChild>
    </w:div>
    <w:div w:id="1803765740">
      <w:bodyDiv w:val="1"/>
      <w:marLeft w:val="0"/>
      <w:marRight w:val="0"/>
      <w:marTop w:val="0"/>
      <w:marBottom w:val="0"/>
      <w:divBdr>
        <w:top w:val="none" w:sz="0" w:space="0" w:color="auto"/>
        <w:left w:val="none" w:sz="0" w:space="0" w:color="auto"/>
        <w:bottom w:val="none" w:sz="0" w:space="0" w:color="auto"/>
        <w:right w:val="none" w:sz="0" w:space="0" w:color="auto"/>
      </w:divBdr>
      <w:divsChild>
        <w:div w:id="1777673189">
          <w:marLeft w:val="0"/>
          <w:marRight w:val="0"/>
          <w:marTop w:val="0"/>
          <w:marBottom w:val="0"/>
          <w:divBdr>
            <w:top w:val="none" w:sz="0" w:space="0" w:color="auto"/>
            <w:left w:val="none" w:sz="0" w:space="0" w:color="auto"/>
            <w:bottom w:val="none" w:sz="0" w:space="0" w:color="auto"/>
            <w:right w:val="none" w:sz="0" w:space="0" w:color="auto"/>
          </w:divBdr>
        </w:div>
        <w:div w:id="460924019">
          <w:marLeft w:val="0"/>
          <w:marRight w:val="0"/>
          <w:marTop w:val="0"/>
          <w:marBottom w:val="0"/>
          <w:divBdr>
            <w:top w:val="none" w:sz="0" w:space="0" w:color="auto"/>
            <w:left w:val="none" w:sz="0" w:space="0" w:color="auto"/>
            <w:bottom w:val="none" w:sz="0" w:space="0" w:color="auto"/>
            <w:right w:val="none" w:sz="0" w:space="0" w:color="auto"/>
          </w:divBdr>
        </w:div>
      </w:divsChild>
    </w:div>
    <w:div w:id="1851525971">
      <w:bodyDiv w:val="1"/>
      <w:marLeft w:val="0"/>
      <w:marRight w:val="0"/>
      <w:marTop w:val="0"/>
      <w:marBottom w:val="0"/>
      <w:divBdr>
        <w:top w:val="none" w:sz="0" w:space="0" w:color="auto"/>
        <w:left w:val="none" w:sz="0" w:space="0" w:color="auto"/>
        <w:bottom w:val="none" w:sz="0" w:space="0" w:color="auto"/>
        <w:right w:val="none" w:sz="0" w:space="0" w:color="auto"/>
      </w:divBdr>
      <w:divsChild>
        <w:div w:id="299960737">
          <w:marLeft w:val="0"/>
          <w:marRight w:val="0"/>
          <w:marTop w:val="0"/>
          <w:marBottom w:val="0"/>
          <w:divBdr>
            <w:top w:val="none" w:sz="0" w:space="0" w:color="auto"/>
            <w:left w:val="none" w:sz="0" w:space="0" w:color="auto"/>
            <w:bottom w:val="none" w:sz="0" w:space="0" w:color="auto"/>
            <w:right w:val="none" w:sz="0" w:space="0" w:color="auto"/>
          </w:divBdr>
        </w:div>
      </w:divsChild>
    </w:div>
    <w:div w:id="1910190703">
      <w:bodyDiv w:val="1"/>
      <w:marLeft w:val="0"/>
      <w:marRight w:val="0"/>
      <w:marTop w:val="0"/>
      <w:marBottom w:val="0"/>
      <w:divBdr>
        <w:top w:val="none" w:sz="0" w:space="0" w:color="auto"/>
        <w:left w:val="none" w:sz="0" w:space="0" w:color="auto"/>
        <w:bottom w:val="none" w:sz="0" w:space="0" w:color="auto"/>
        <w:right w:val="none" w:sz="0" w:space="0" w:color="auto"/>
      </w:divBdr>
      <w:divsChild>
        <w:div w:id="1780298335">
          <w:marLeft w:val="0"/>
          <w:marRight w:val="0"/>
          <w:marTop w:val="0"/>
          <w:marBottom w:val="0"/>
          <w:divBdr>
            <w:top w:val="none" w:sz="0" w:space="0" w:color="auto"/>
            <w:left w:val="none" w:sz="0" w:space="0" w:color="auto"/>
            <w:bottom w:val="none" w:sz="0" w:space="0" w:color="auto"/>
            <w:right w:val="none" w:sz="0" w:space="0" w:color="auto"/>
          </w:divBdr>
        </w:div>
      </w:divsChild>
    </w:div>
    <w:div w:id="1966307094">
      <w:bodyDiv w:val="1"/>
      <w:marLeft w:val="0"/>
      <w:marRight w:val="0"/>
      <w:marTop w:val="0"/>
      <w:marBottom w:val="0"/>
      <w:divBdr>
        <w:top w:val="none" w:sz="0" w:space="0" w:color="auto"/>
        <w:left w:val="none" w:sz="0" w:space="0" w:color="auto"/>
        <w:bottom w:val="none" w:sz="0" w:space="0" w:color="auto"/>
        <w:right w:val="none" w:sz="0" w:space="0" w:color="auto"/>
      </w:divBdr>
    </w:div>
    <w:div w:id="2002587417">
      <w:bodyDiv w:val="1"/>
      <w:marLeft w:val="0"/>
      <w:marRight w:val="0"/>
      <w:marTop w:val="0"/>
      <w:marBottom w:val="0"/>
      <w:divBdr>
        <w:top w:val="none" w:sz="0" w:space="0" w:color="auto"/>
        <w:left w:val="none" w:sz="0" w:space="0" w:color="auto"/>
        <w:bottom w:val="none" w:sz="0" w:space="0" w:color="auto"/>
        <w:right w:val="none" w:sz="0" w:space="0" w:color="auto"/>
      </w:divBdr>
      <w:divsChild>
        <w:div w:id="1750927807">
          <w:marLeft w:val="0"/>
          <w:marRight w:val="0"/>
          <w:marTop w:val="0"/>
          <w:marBottom w:val="0"/>
          <w:divBdr>
            <w:top w:val="none" w:sz="0" w:space="0" w:color="auto"/>
            <w:left w:val="none" w:sz="0" w:space="0" w:color="auto"/>
            <w:bottom w:val="none" w:sz="0" w:space="0" w:color="auto"/>
            <w:right w:val="none" w:sz="0" w:space="0" w:color="auto"/>
          </w:divBdr>
        </w:div>
      </w:divsChild>
    </w:div>
    <w:div w:id="2041393739">
      <w:bodyDiv w:val="1"/>
      <w:marLeft w:val="0"/>
      <w:marRight w:val="0"/>
      <w:marTop w:val="0"/>
      <w:marBottom w:val="0"/>
      <w:divBdr>
        <w:top w:val="none" w:sz="0" w:space="0" w:color="auto"/>
        <w:left w:val="none" w:sz="0" w:space="0" w:color="auto"/>
        <w:bottom w:val="none" w:sz="0" w:space="0" w:color="auto"/>
        <w:right w:val="none" w:sz="0" w:space="0" w:color="auto"/>
      </w:divBdr>
      <w:divsChild>
        <w:div w:id="1575356400">
          <w:marLeft w:val="0"/>
          <w:marRight w:val="0"/>
          <w:marTop w:val="0"/>
          <w:marBottom w:val="0"/>
          <w:divBdr>
            <w:top w:val="none" w:sz="0" w:space="0" w:color="auto"/>
            <w:left w:val="none" w:sz="0" w:space="0" w:color="auto"/>
            <w:bottom w:val="none" w:sz="0" w:space="0" w:color="auto"/>
            <w:right w:val="none" w:sz="0" w:space="0" w:color="auto"/>
          </w:divBdr>
        </w:div>
      </w:divsChild>
    </w:div>
    <w:div w:id="2046708908">
      <w:bodyDiv w:val="1"/>
      <w:marLeft w:val="0"/>
      <w:marRight w:val="0"/>
      <w:marTop w:val="0"/>
      <w:marBottom w:val="0"/>
      <w:divBdr>
        <w:top w:val="none" w:sz="0" w:space="0" w:color="auto"/>
        <w:left w:val="none" w:sz="0" w:space="0" w:color="auto"/>
        <w:bottom w:val="none" w:sz="0" w:space="0" w:color="auto"/>
        <w:right w:val="none" w:sz="0" w:space="0" w:color="auto"/>
      </w:divBdr>
      <w:divsChild>
        <w:div w:id="615793004">
          <w:marLeft w:val="0"/>
          <w:marRight w:val="0"/>
          <w:marTop w:val="0"/>
          <w:marBottom w:val="0"/>
          <w:divBdr>
            <w:top w:val="none" w:sz="0" w:space="0" w:color="auto"/>
            <w:left w:val="none" w:sz="0" w:space="0" w:color="auto"/>
            <w:bottom w:val="none" w:sz="0" w:space="0" w:color="auto"/>
            <w:right w:val="none" w:sz="0" w:space="0" w:color="auto"/>
          </w:divBdr>
        </w:div>
      </w:divsChild>
    </w:div>
    <w:div w:id="2118209467">
      <w:bodyDiv w:val="1"/>
      <w:marLeft w:val="0"/>
      <w:marRight w:val="0"/>
      <w:marTop w:val="0"/>
      <w:marBottom w:val="0"/>
      <w:divBdr>
        <w:top w:val="none" w:sz="0" w:space="0" w:color="auto"/>
        <w:left w:val="none" w:sz="0" w:space="0" w:color="auto"/>
        <w:bottom w:val="none" w:sz="0" w:space="0" w:color="auto"/>
        <w:right w:val="none" w:sz="0" w:space="0" w:color="auto"/>
      </w:divBdr>
      <w:divsChild>
        <w:div w:id="1709337027">
          <w:marLeft w:val="0"/>
          <w:marRight w:val="0"/>
          <w:marTop w:val="0"/>
          <w:marBottom w:val="0"/>
          <w:divBdr>
            <w:top w:val="none" w:sz="0" w:space="0" w:color="auto"/>
            <w:left w:val="none" w:sz="0" w:space="0" w:color="auto"/>
            <w:bottom w:val="none" w:sz="0" w:space="0" w:color="auto"/>
            <w:right w:val="none" w:sz="0" w:space="0" w:color="auto"/>
          </w:divBdr>
        </w:div>
        <w:div w:id="329528417">
          <w:marLeft w:val="0"/>
          <w:marRight w:val="0"/>
          <w:marTop w:val="0"/>
          <w:marBottom w:val="0"/>
          <w:divBdr>
            <w:top w:val="none" w:sz="0" w:space="0" w:color="auto"/>
            <w:left w:val="none" w:sz="0" w:space="0" w:color="auto"/>
            <w:bottom w:val="none" w:sz="0" w:space="0" w:color="auto"/>
            <w:right w:val="none" w:sz="0" w:space="0" w:color="auto"/>
          </w:divBdr>
        </w:div>
      </w:divsChild>
    </w:div>
    <w:div w:id="2130390672">
      <w:bodyDiv w:val="1"/>
      <w:marLeft w:val="0"/>
      <w:marRight w:val="0"/>
      <w:marTop w:val="0"/>
      <w:marBottom w:val="0"/>
      <w:divBdr>
        <w:top w:val="none" w:sz="0" w:space="0" w:color="auto"/>
        <w:left w:val="none" w:sz="0" w:space="0" w:color="auto"/>
        <w:bottom w:val="none" w:sz="0" w:space="0" w:color="auto"/>
        <w:right w:val="none" w:sz="0" w:space="0" w:color="auto"/>
      </w:divBdr>
      <w:divsChild>
        <w:div w:id="356581703">
          <w:marLeft w:val="0"/>
          <w:marRight w:val="0"/>
          <w:marTop w:val="0"/>
          <w:marBottom w:val="0"/>
          <w:divBdr>
            <w:top w:val="none" w:sz="0" w:space="0" w:color="auto"/>
            <w:left w:val="none" w:sz="0" w:space="0" w:color="auto"/>
            <w:bottom w:val="none" w:sz="0" w:space="0" w:color="auto"/>
            <w:right w:val="none" w:sz="0" w:space="0" w:color="auto"/>
          </w:divBdr>
        </w:div>
        <w:div w:id="339507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7DAD-F00F-0746-810A-9F225A843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35</Pages>
  <Words>7211</Words>
  <Characters>43270</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PAN/PANI</vt:lpstr>
    </vt:vector>
  </TitlesOfParts>
  <Company>Archiwow Panstwowych</Company>
  <LinksUpToDate>false</LinksUpToDate>
  <CharactersWithSpaces>50381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PAN/PANI</dc:title>
  <dc:subject/>
  <dc:creator>mmrozek</dc:creator>
  <cp:keywords/>
  <dc:description/>
  <cp:lastModifiedBy>Paweł Ząbczyński</cp:lastModifiedBy>
  <cp:revision>4</cp:revision>
  <cp:lastPrinted>2019-01-31T11:40:00Z</cp:lastPrinted>
  <dcterms:created xsi:type="dcterms:W3CDTF">2021-04-27T08:20:00Z</dcterms:created>
  <dcterms:modified xsi:type="dcterms:W3CDTF">2021-04-27T09:02:00Z</dcterms:modified>
</cp:coreProperties>
</file>